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492570">
        <w:rPr>
          <w:rFonts w:ascii="Arial" w:hAnsi="Arial" w:cs="Arial"/>
          <w:b/>
          <w:sz w:val="24"/>
          <w:szCs w:val="24"/>
          <w:u w:val="single"/>
        </w:rPr>
        <w:t>11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492570">
        <w:rPr>
          <w:rFonts w:ascii="Arial" w:hAnsi="Arial" w:cs="Arial"/>
          <w:b/>
          <w:sz w:val="24"/>
          <w:szCs w:val="24"/>
          <w:u w:val="single"/>
        </w:rPr>
        <w:t>06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492570" w:rsidRPr="00492570">
        <w:rPr>
          <w:rFonts w:ascii="Arial" w:hAnsi="Arial" w:cs="Arial"/>
          <w:sz w:val="24"/>
          <w:szCs w:val="24"/>
        </w:rPr>
        <w:t>REALIZAÇÃO DE EXAME DE URETROCISTOGRAFIA MICCIONAL, CONFORME SOLICITAÇÃO DE SERVIÇO N.º 017/2016/GESAU, PARA ATENDIMENTO AO PACIENTE LAURO DE JESUS, CONFORME DETERMINAÇÃO JUDICIAL ATRAVÉS DE AÇÃO CIVIL PÚBLICA, REFERENTE AOS AUTOS N.º 0803412-81.2015.8.12.0029, MANDADO N.º 029.2015/010828-4, PODER JUDICIÁRIO, PRIMEIRA VARA CÍVEL, COMARCA DE NAVIRAÍ -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492570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492570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492570">
        <w:rPr>
          <w:rFonts w:ascii="Arial" w:hAnsi="Arial" w:cs="Arial"/>
          <w:sz w:val="24"/>
          <w:szCs w:val="24"/>
        </w:rPr>
        <w:t>CERDIL – CENTRO DE RADIOLOGIA E DIAGNÓSTICO POR IMAGEM LTDA,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803564" w:rsidRPr="00803564">
        <w:rPr>
          <w:rFonts w:ascii="Arial" w:hAnsi="Arial" w:cs="Arial"/>
          <w:sz w:val="24"/>
          <w:szCs w:val="24"/>
        </w:rPr>
        <w:t>0</w:t>
      </w:r>
      <w:r w:rsidR="00492570">
        <w:rPr>
          <w:rFonts w:ascii="Arial" w:hAnsi="Arial" w:cs="Arial"/>
          <w:sz w:val="24"/>
          <w:szCs w:val="24"/>
        </w:rPr>
        <w:t>3</w:t>
      </w:r>
      <w:r w:rsidR="00803564" w:rsidRPr="00803564">
        <w:rPr>
          <w:rFonts w:ascii="Arial" w:hAnsi="Arial" w:cs="Arial"/>
          <w:sz w:val="24"/>
          <w:szCs w:val="24"/>
        </w:rPr>
        <w:t>.</w:t>
      </w:r>
      <w:r w:rsidR="00492570">
        <w:rPr>
          <w:rFonts w:ascii="Arial" w:hAnsi="Arial" w:cs="Arial"/>
          <w:sz w:val="24"/>
          <w:szCs w:val="24"/>
        </w:rPr>
        <w:t>304</w:t>
      </w:r>
      <w:r w:rsidR="00803564" w:rsidRPr="00803564">
        <w:rPr>
          <w:rFonts w:ascii="Arial" w:hAnsi="Arial" w:cs="Arial"/>
          <w:sz w:val="24"/>
          <w:szCs w:val="24"/>
        </w:rPr>
        <w:t>.</w:t>
      </w:r>
      <w:r w:rsidR="00492570">
        <w:rPr>
          <w:rFonts w:ascii="Arial" w:hAnsi="Arial" w:cs="Arial"/>
          <w:sz w:val="24"/>
          <w:szCs w:val="24"/>
        </w:rPr>
        <w:t>188</w:t>
      </w:r>
      <w:r w:rsidR="00803564" w:rsidRPr="00803564">
        <w:rPr>
          <w:rFonts w:ascii="Arial" w:hAnsi="Arial" w:cs="Arial"/>
          <w:sz w:val="24"/>
          <w:szCs w:val="24"/>
        </w:rPr>
        <w:t>/0001-</w:t>
      </w:r>
      <w:r w:rsidR="00492570">
        <w:rPr>
          <w:rFonts w:ascii="Arial" w:hAnsi="Arial" w:cs="Arial"/>
          <w:sz w:val="24"/>
          <w:szCs w:val="24"/>
        </w:rPr>
        <w:t>50</w:t>
      </w:r>
      <w:r w:rsidR="00E918FC">
        <w:rPr>
          <w:rFonts w:ascii="Arial" w:hAnsi="Arial" w:cs="Arial"/>
          <w:sz w:val="24"/>
          <w:szCs w:val="24"/>
        </w:rPr>
        <w:t>.</w:t>
      </w:r>
      <w:r w:rsidR="00492570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492570">
        <w:rPr>
          <w:rFonts w:ascii="Arial" w:hAnsi="Arial" w:cs="Arial"/>
          <w:sz w:val="24"/>
          <w:szCs w:val="24"/>
        </w:rPr>
        <w:t>1.102,00 (UM MIL CENTO E DOIS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</w:t>
      </w:r>
      <w:r w:rsidR="0049257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9257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5F25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451298" w:rsidRPr="000C26DA" w:rsidRDefault="004512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49257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492570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2AB3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57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AF72E09-1DBA-448A-92BB-60D68AAB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2016-01-21T13:03:00Z</cp:lastPrinted>
  <dcterms:created xsi:type="dcterms:W3CDTF">2016-01-22T14:18:00Z</dcterms:created>
  <dcterms:modified xsi:type="dcterms:W3CDTF">2016-01-22T14:18:00Z</dcterms:modified>
</cp:coreProperties>
</file>