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pPr>
    </w:p>
    <w:p>
      <w:pPr>
        <w:overflowPunct w:val="0"/>
        <w:autoSpaceDE w:val="0"/>
        <w:autoSpaceDN w:val="0"/>
        <w:adjustRightInd w:val="0"/>
        <w:spacing w:after="0" w:line="240" w:lineRule="auto"/>
        <w:jc w:val="center"/>
        <w:textAlignment w:val="baseline"/>
        <w:rPr>
          <w:rFonts w:eastAsia="Times New Roman"/>
          <w:b/>
          <w:iCs/>
          <w:sz w:val="24"/>
          <w:szCs w:val="24"/>
          <w:u w:val="single"/>
          <w:lang w:eastAsia="pt-BR"/>
        </w:rPr>
      </w:pPr>
      <w:r>
        <w:rPr>
          <w:rFonts w:eastAsia="Times New Roman"/>
          <w:b/>
          <w:iCs/>
          <w:sz w:val="24"/>
          <w:szCs w:val="24"/>
          <w:u w:val="single"/>
          <w:lang w:eastAsia="pt-BR"/>
        </w:rPr>
        <w:t xml:space="preserve"> 2º EDITAL</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05 de julho</w:t>
      </w:r>
      <w:r>
        <w:rPr>
          <w:rFonts w:eastAsia="Times New Roman"/>
          <w:iCs/>
          <w:sz w:val="24"/>
          <w:szCs w:val="24"/>
          <w:lang w:eastAsia="pt-BR"/>
        </w:rPr>
        <w:t xml:space="preserve"> de 2021.</w:t>
      </w:r>
    </w:p>
    <w:p>
      <w:pPr>
        <w:ind w:left="142" w:right="-1"/>
        <w:jc w:val="center"/>
        <w:rPr>
          <w:b/>
          <w:iCs/>
          <w:sz w:val="24"/>
          <w:szCs w:val="24"/>
        </w:rPr>
      </w:pPr>
      <w:bookmarkStart w:id="0" w:name="_GoBack"/>
      <w:bookmarkEnd w:id="0"/>
    </w:p>
    <w:p>
      <w:pPr>
        <w:ind w:left="142" w:right="-1"/>
        <w:jc w:val="center"/>
        <w:rPr>
          <w:b/>
          <w:iCs/>
          <w:sz w:val="24"/>
          <w:szCs w:val="24"/>
        </w:rPr>
      </w:pPr>
      <w:r>
        <w:rPr>
          <w:b/>
          <w:iCs/>
          <w:sz w:val="24"/>
          <w:szCs w:val="24"/>
        </w:rPr>
        <w:t>TOMADA DE PREÇO Nº. 003/2021</w:t>
      </w:r>
    </w:p>
    <w:p>
      <w:pPr>
        <w:overflowPunct w:val="0"/>
        <w:autoSpaceDE w:val="0"/>
        <w:autoSpaceDN w:val="0"/>
        <w:adjustRightInd w:val="0"/>
        <w:spacing w:after="0" w:line="240" w:lineRule="auto"/>
        <w:ind w:left="142" w:right="-1"/>
        <w:jc w:val="center"/>
        <w:textAlignment w:val="baseline"/>
        <w:rPr>
          <w:b/>
          <w:iCs/>
          <w:sz w:val="24"/>
          <w:szCs w:val="24"/>
        </w:rPr>
      </w:pPr>
      <w:r>
        <w:rPr>
          <w:b/>
          <w:iCs/>
          <w:sz w:val="24"/>
          <w:szCs w:val="24"/>
        </w:rPr>
        <w:t>PROCESSO LICITATÓRIO Nº. 037/2021</w:t>
      </w:r>
    </w:p>
    <w:p>
      <w:pPr>
        <w:overflowPunct w:val="0"/>
        <w:autoSpaceDE w:val="0"/>
        <w:autoSpaceDN w:val="0"/>
        <w:adjustRightInd w:val="0"/>
        <w:spacing w:after="0" w:line="240" w:lineRule="auto"/>
        <w:ind w:left="142" w:right="-1"/>
        <w:jc w:val="center"/>
        <w:textAlignment w:val="baseline"/>
        <w:rPr>
          <w:b/>
          <w:iCs/>
          <w:sz w:val="24"/>
          <w:szCs w:val="24"/>
        </w:rPr>
      </w:pPr>
    </w:p>
    <w:p>
      <w:pPr>
        <w:overflowPunct w:val="0"/>
        <w:autoSpaceDE w:val="0"/>
        <w:autoSpaceDN w:val="0"/>
        <w:adjustRightInd w:val="0"/>
        <w:spacing w:after="0" w:line="240" w:lineRule="auto"/>
        <w:ind w:left="142" w:right="-1"/>
        <w:textAlignment w:val="baseline"/>
        <w:rPr>
          <w:b/>
          <w:iCs/>
          <w:sz w:val="24"/>
          <w:szCs w:val="24"/>
        </w:rPr>
      </w:pPr>
      <w:r>
        <w:rPr>
          <w:b/>
          <w:iCs/>
          <w:sz w:val="24"/>
          <w:szCs w:val="24"/>
        </w:rPr>
        <w:t>1  PREÂMBULO</w:t>
      </w:r>
    </w:p>
    <w:p>
      <w:pPr>
        <w:overflowPunct w:val="0"/>
        <w:autoSpaceDE w:val="0"/>
        <w:autoSpaceDN w:val="0"/>
        <w:adjustRightInd w:val="0"/>
        <w:spacing w:after="0" w:line="240" w:lineRule="auto"/>
        <w:ind w:left="142" w:right="-1"/>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b/>
          <w:iCs/>
          <w:sz w:val="24"/>
          <w:szCs w:val="24"/>
          <w:lang w:eastAsia="pt-BR"/>
        </w:rPr>
        <w:tab/>
      </w:r>
      <w:r>
        <w:rPr>
          <w:iCs/>
          <w:sz w:val="24"/>
          <w:szCs w:val="24"/>
        </w:rPr>
        <w:t xml:space="preserve">O MUNICÍPIO DE NAVIRAÍ-MS - Fundo Municipal de Saúde, por meio de sua Comissão Permanente de Licitação conforme Portaria nº. </w:t>
      </w:r>
      <w:r>
        <w:rPr>
          <w:sz w:val="24"/>
          <w:szCs w:val="24"/>
        </w:rPr>
        <w:t>144 de 26 de fevereiro de 2021</w:t>
      </w:r>
      <w:r>
        <w:rPr>
          <w:iCs/>
          <w:sz w:val="24"/>
          <w:szCs w:val="24"/>
        </w:rPr>
        <w:t xml:space="preserve">, sito na Praça Prefeito Euclides Antônio Fabris, n.º 343, em Naviraí, Estado de Mato Grosso do Sul, pela presente torna público a realização de licitação, na modalidade </w:t>
      </w:r>
      <w:r>
        <w:rPr>
          <w:b/>
          <w:bCs/>
          <w:iCs/>
          <w:sz w:val="24"/>
          <w:szCs w:val="24"/>
        </w:rPr>
        <w:t>TOMADA DE PREÇOS</w:t>
      </w:r>
      <w:r>
        <w:rPr>
          <w:iCs/>
          <w:sz w:val="24"/>
          <w:szCs w:val="24"/>
        </w:rPr>
        <w:t xml:space="preserve">, tipo </w:t>
      </w:r>
      <w:r>
        <w:rPr>
          <w:b/>
          <w:bCs/>
          <w:iCs/>
          <w:sz w:val="24"/>
          <w:szCs w:val="24"/>
        </w:rPr>
        <w:t xml:space="preserve">“Menor preço – GLOBAL” </w:t>
      </w:r>
      <w:r>
        <w:rPr>
          <w:bCs/>
          <w:iCs/>
          <w:sz w:val="24"/>
          <w:szCs w:val="24"/>
        </w:rPr>
        <w:t>o</w:t>
      </w:r>
      <w:r>
        <w:rPr>
          <w:iCs/>
          <w:sz w:val="24"/>
          <w:szCs w:val="24"/>
        </w:rPr>
        <w:t xml:space="preserve"> que será processado e julgado em conformidade com os preceitos da Lei Federal nº. 8.666, de 21.06.93 e suas posteriores alterações, das Leis Complementares nº. 123/2006 e 147/2014, sob as seguintes condições: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A Abertura da sessão inicial do processo licitatório acontecerá na sala de reuniões da PREFEITURA MUNICIPAL DE NAVIRAÍ, no dia </w:t>
      </w:r>
      <w:r>
        <w:rPr>
          <w:rFonts w:eastAsia="Times New Roman"/>
          <w:b/>
          <w:bCs/>
          <w:iCs/>
          <w:snapToGrid w:val="0"/>
          <w:sz w:val="24"/>
          <w:szCs w:val="24"/>
          <w:lang w:eastAsia="pt-BR"/>
        </w:rPr>
        <w:t>23 de julho de 2021</w:t>
      </w:r>
      <w:r>
        <w:rPr>
          <w:rFonts w:eastAsia="Times New Roman"/>
          <w:bCs/>
          <w:sz w:val="24"/>
          <w:szCs w:val="24"/>
          <w:lang w:eastAsia="pt-BR"/>
        </w:rPr>
        <w:t xml:space="preserve">, às </w:t>
      </w:r>
      <w:r>
        <w:rPr>
          <w:rFonts w:eastAsia="Times New Roman"/>
          <w:b/>
          <w:bCs/>
          <w:sz w:val="24"/>
          <w:szCs w:val="24"/>
          <w:lang w:eastAsia="pt-BR"/>
        </w:rPr>
        <w:t>08h00min</w:t>
      </w:r>
      <w:r>
        <w:rPr>
          <w:rFonts w:eastAsia="Times New Roman"/>
          <w:b/>
          <w:bCs/>
          <w:color w:val="000000"/>
          <w:sz w:val="24"/>
          <w:szCs w:val="24"/>
          <w:lang w:eastAsia="pt-BR"/>
        </w:rPr>
        <w:t>.</w:t>
      </w:r>
    </w:p>
    <w:p>
      <w:pPr>
        <w:autoSpaceDN w:val="0"/>
        <w:spacing w:after="0"/>
        <w:ind w:left="567" w:hanging="567"/>
        <w:contextualSpacing/>
        <w:jc w:val="both"/>
        <w:textAlignment w:val="baseline"/>
        <w:rPr>
          <w:rFonts w:eastAsia="Calibri"/>
          <w:sz w:val="24"/>
          <w:szCs w:val="24"/>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No caso de impedimento da realização do Certame Licitatório naquela data, o certame ocorrerá no primeiro dia útil posterior ao fato que ensejou o impedimento da realização do Certame Licitatório, no mesmo horário.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OBJETO DA LICITAÇÃO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b/>
          <w:iCs/>
          <w:sz w:val="24"/>
          <w:szCs w:val="24"/>
          <w:lang w:eastAsia="pt-BR"/>
        </w:rPr>
      </w:pPr>
      <w:r>
        <w:rPr>
          <w:rFonts w:eastAsia="Times New Roman"/>
          <w:iCs/>
          <w:sz w:val="24"/>
          <w:szCs w:val="24"/>
          <w:lang w:eastAsia="pt-BR"/>
        </w:rPr>
        <w:t xml:space="preserve">Objeto da presente licitação é a </w:t>
      </w:r>
      <w:r>
        <w:rPr>
          <w:rFonts w:eastAsia="Times New Roman"/>
          <w:b/>
          <w:sz w:val="24"/>
          <w:szCs w:val="24"/>
          <w:lang w:eastAsia="pt-BR"/>
        </w:rPr>
        <w:t xml:space="preserve">CONTRATAÇÃO DE EMPRESA ESPECIALIZADA EM PRESTAÇÃO DE SERVIÇO DE ASSESSORIA, FISCALIZAÇÃO, CONSULTORIA, SUPERVISÃO, ASSISTÊNCIA EM PROJETO CIVIL E INFRAESTRUTURA DO MUNICÍPIO DE NAVIRAÍ-MS, CONFORME TERMO DE REFERÊNCIA, SOLICITAÇÃO GERÊNCIA DE OBRAS. PEDIDO DE SERVIÇO Nº 086/2021. </w:t>
      </w:r>
    </w:p>
    <w:p>
      <w:pPr>
        <w:overflowPunct w:val="0"/>
        <w:autoSpaceDE w:val="0"/>
        <w:autoSpaceDN w:val="0"/>
        <w:adjustRightInd w:val="0"/>
        <w:spacing w:after="0" w:line="240" w:lineRule="auto"/>
        <w:ind w:left="567" w:right="-1" w:hanging="567"/>
        <w:jc w:val="both"/>
        <w:textAlignment w:val="baseline"/>
        <w:rPr>
          <w:rFonts w:eastAsia="Times New Roman"/>
          <w:b/>
          <w:iCs/>
          <w:sz w:val="24"/>
          <w:szCs w:val="24"/>
          <w:lang w:eastAsia="pt-BR"/>
        </w:rPr>
      </w:pPr>
    </w:p>
    <w:p>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eastAsia="Times New Roman"/>
          <w:b/>
          <w:sz w:val="24"/>
          <w:szCs w:val="24"/>
        </w:rPr>
      </w:pPr>
      <w:r>
        <w:rPr>
          <w:rFonts w:eastAsia="Times New Roman"/>
          <w:b/>
          <w:sz w:val="24"/>
          <w:szCs w:val="24"/>
        </w:rPr>
        <w:t>CONDIÇÕES DE PARTICIPAÇÃO</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 xml:space="preserve">Só poderão participar desta licitação, empresas do ramo pertinente ao objeto e que satisfaçam plenamente todas as condições do presente Edital e seus anexos. </w:t>
      </w:r>
    </w:p>
    <w:p>
      <w:pPr>
        <w:overflowPunct w:val="0"/>
        <w:autoSpaceDE w:val="0"/>
        <w:autoSpaceDN w:val="0"/>
        <w:adjustRightInd w:val="0"/>
        <w:spacing w:after="0"/>
        <w:ind w:left="567" w:right="-1" w:hanging="567"/>
        <w:contextualSpacing/>
        <w:textAlignment w:val="baseline"/>
        <w:rPr>
          <w:rFonts w:eastAsia="Calibri"/>
          <w:sz w:val="24"/>
          <w:szCs w:val="24"/>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val="0"/>
        <w:autoSpaceDE w:val="0"/>
        <w:autoSpaceDN w:val="0"/>
        <w:adjustRightInd w:val="0"/>
        <w:spacing w:after="0" w:line="240" w:lineRule="auto"/>
        <w:ind w:left="567" w:right="-1" w:hanging="567"/>
        <w:textAlignment w:val="baseline"/>
        <w:rPr>
          <w:rFonts w:eastAsia="Times New Roman"/>
          <w:iCs/>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Não será permitida a participação de:</w:t>
      </w:r>
    </w:p>
    <w:p>
      <w:pPr>
        <w:overflowPunct w:val="0"/>
        <w:autoSpaceDE w:val="0"/>
        <w:autoSpaceDN w:val="0"/>
        <w:adjustRightInd w:val="0"/>
        <w:spacing w:after="0" w:line="240" w:lineRule="auto"/>
        <w:ind w:left="709" w:right="-1"/>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Consórcios de empresa, qualquer que seja sua forma de constituição;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Concordatárias ou em processo de falência, sob concurso de credores, em dissolução ou em liquidação;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em recuperação judicial em virtude da vigência da Lei n° 11.101/05;</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Da qual tal servidor seja sócio, dirigente ou responsável técnico.</w:t>
      </w:r>
    </w:p>
    <w:p>
      <w:pPr>
        <w:tabs>
          <w:tab w:val="left" w:pos="851"/>
        </w:tabs>
        <w:overflowPunct w:val="0"/>
        <w:autoSpaceDE w:val="0"/>
        <w:autoSpaceDN w:val="0"/>
        <w:adjustRightInd w:val="0"/>
        <w:spacing w:after="0" w:line="240" w:lineRule="auto"/>
        <w:ind w:left="851" w:right="-1"/>
        <w:jc w:val="both"/>
        <w:textAlignment w:val="baseline"/>
        <w:rPr>
          <w:rFonts w:eastAsia="Times New Roman"/>
          <w:iCs/>
          <w:sz w:val="24"/>
          <w:szCs w:val="24"/>
          <w:lang w:eastAsia="pt-BR"/>
        </w:rPr>
      </w:pPr>
      <w:r>
        <w:rPr>
          <w:rFonts w:eastAsia="Times New Roman"/>
          <w:iCs/>
          <w:sz w:val="24"/>
          <w:szCs w:val="24"/>
          <w:lang w:eastAsia="pt-BR"/>
        </w:rPr>
        <w:t xml:space="preserve"> </w:t>
      </w: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DATA HORA, LOCAL E CONDIÇÕES PARA APRESENTAÇÃO DA DOCUMENTAÇÃO E PROPOSTA.</w:t>
      </w:r>
    </w:p>
    <w:p>
      <w:pPr>
        <w:overflowPunct w:val="0"/>
        <w:autoSpaceDE w:val="0"/>
        <w:autoSpaceDN w:val="0"/>
        <w:adjustRightInd w:val="0"/>
        <w:spacing w:after="0" w:line="240" w:lineRule="auto"/>
        <w:ind w:left="567" w:right="-1" w:hanging="567"/>
        <w:jc w:val="both"/>
        <w:textAlignment w:val="baseline"/>
        <w:rPr>
          <w:rFonts w:eastAsia="Times New Roman"/>
          <w:b/>
          <w:bCs/>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iCs/>
          <w:sz w:val="24"/>
          <w:szCs w:val="24"/>
          <w:lang w:eastAsia="pt-BR"/>
        </w:rPr>
      </w:pPr>
      <w:r>
        <w:rPr>
          <w:rFonts w:eastAsia="Times New Roman"/>
          <w:iCs/>
          <w:sz w:val="24"/>
          <w:szCs w:val="24"/>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r>
        <w:rPr>
          <w:rFonts w:eastAsia="Times New Roman"/>
          <w:sz w:val="24"/>
          <w:szCs w:val="24"/>
          <w:lang w:eastAsia="pt-BR"/>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ascii="Arial" w:hAnsi="Arial" w:cs="Arial"/>
                                <w:b/>
                                <w:iCs/>
                              </w:rPr>
                            </w:pPr>
                            <w:r>
                              <w:rPr>
                                <w:rFonts w:ascii="Arial" w:hAnsi="Arial" w:cs="Arial"/>
                                <w:b/>
                                <w:iCs/>
                              </w:rPr>
                              <w:t>TOMADA DE PREÇOS Nº. 003/2021</w:t>
                            </w:r>
                          </w:p>
                          <w:p>
                            <w:pPr>
                              <w:spacing w:after="0"/>
                              <w:ind w:left="284" w:right="-1"/>
                              <w:jc w:val="both"/>
                              <w:rPr>
                                <w:rFonts w:ascii="Arial" w:hAnsi="Arial" w:cs="Arial"/>
                                <w:b/>
                                <w:iCs/>
                              </w:rPr>
                            </w:pPr>
                            <w:r>
                              <w:rPr>
                                <w:rFonts w:ascii="Arial" w:hAnsi="Arial" w:cs="Arial"/>
                                <w:b/>
                                <w:iCs/>
                              </w:rPr>
                              <w:t>DATA DE ABERTURA: 23/07/2021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25pt;margin-top:3.3pt;height:158.25pt;width:209.2pt;z-index:251660288;mso-width-relative:page;mso-height-relative:page;" fillcolor="#EAF1DD" filled="t" stroked="t" coordsize="21600,21600" o:gfxdata="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RrEtYAAAAIAQAADwAAAAAAAAABACAAAAAiAAAAZHJzL2Rvd25y&#10;ZXYueG1sUEsBAhQAFAAAAAgAh07iQCU0wPo5AgAAjQQAAA4AAAAAAAAAAQAgAAAAJQEAAGRycy9l&#10;Mm9Eb2MueG1sUEsFBgAAAAAGAAYAWQEAANAFA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ascii="Arial" w:hAnsi="Arial" w:cs="Arial"/>
                          <w:b/>
                          <w:iCs/>
                        </w:rPr>
                      </w:pPr>
                      <w:r>
                        <w:rPr>
                          <w:rFonts w:ascii="Arial" w:hAnsi="Arial" w:cs="Arial"/>
                          <w:b/>
                          <w:iCs/>
                        </w:rPr>
                        <w:t>TOMADA DE PREÇOS Nº. 003/2021</w:t>
                      </w:r>
                    </w:p>
                    <w:p>
                      <w:pPr>
                        <w:spacing w:after="0"/>
                        <w:ind w:left="284" w:right="-1"/>
                        <w:jc w:val="both"/>
                        <w:rPr>
                          <w:rFonts w:ascii="Arial" w:hAnsi="Arial" w:cs="Arial"/>
                          <w:b/>
                          <w:iCs/>
                        </w:rPr>
                      </w:pPr>
                      <w:r>
                        <w:rPr>
                          <w:rFonts w:ascii="Arial" w:hAnsi="Arial" w:cs="Arial"/>
                          <w:b/>
                          <w:iCs/>
                        </w:rPr>
                        <w:t>DATA DE ABERTURA: 23/07/2021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eastAsia="Times New Roman"/>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ascii="Arial" w:hAnsi="Arial" w:cs="Arial"/>
                                <w:b/>
                                <w:iCs/>
                              </w:rPr>
                            </w:pPr>
                            <w:r>
                              <w:rPr>
                                <w:rFonts w:ascii="Arial" w:hAnsi="Arial" w:cs="Arial"/>
                                <w:b/>
                                <w:iCs/>
                              </w:rPr>
                              <w:t>TOMADA DE PREÇOS Nº. 003/2021</w:t>
                            </w:r>
                          </w:p>
                          <w:p>
                            <w:pPr>
                              <w:spacing w:after="0"/>
                              <w:ind w:left="284" w:right="-1"/>
                              <w:jc w:val="both"/>
                              <w:rPr>
                                <w:rFonts w:ascii="Arial" w:hAnsi="Arial" w:cs="Arial"/>
                                <w:b/>
                                <w:iCs/>
                              </w:rPr>
                            </w:pPr>
                            <w:r>
                              <w:rPr>
                                <w:rFonts w:ascii="Arial" w:hAnsi="Arial" w:cs="Arial"/>
                                <w:b/>
                                <w:iCs/>
                              </w:rPr>
                              <w:t>DATA DE ABERTURA: 23/07/2021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3.3pt;height:158.25pt;width:209.2pt;z-index:251661312;mso-width-relative:page;mso-height-relative:page;" fillcolor="#EAF1DD" filled="t" stroked="t" coordsize="21600,21600" o:gfxdata="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g0bB3XAAAACQEAAA8AAAAAAAAAAQAgAAAAIgAAAGRycy9kb3du&#10;cmV2LnhtbFBLAQIUABQAAAAIAIdO4kA2CXFAOQIAAI0EAAAOAAAAAAAAAAEAIAAAACYBAABkcnMv&#10;ZTJvRG9jLnhtbFBLBQYAAAAABgAGAFkBAADR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ascii="Arial" w:hAnsi="Arial" w:cs="Arial"/>
                          <w:b/>
                          <w:iCs/>
                        </w:rPr>
                      </w:pPr>
                      <w:r>
                        <w:rPr>
                          <w:rFonts w:ascii="Arial" w:hAnsi="Arial" w:cs="Arial"/>
                          <w:b/>
                          <w:iCs/>
                        </w:rPr>
                        <w:t>TOMADA DE PREÇOS Nº. 003/2021</w:t>
                      </w:r>
                    </w:p>
                    <w:p>
                      <w:pPr>
                        <w:spacing w:after="0"/>
                        <w:ind w:left="284" w:right="-1"/>
                        <w:jc w:val="both"/>
                        <w:rPr>
                          <w:rFonts w:ascii="Arial" w:hAnsi="Arial" w:cs="Arial"/>
                          <w:b/>
                          <w:iCs/>
                        </w:rPr>
                      </w:pPr>
                      <w:r>
                        <w:rPr>
                          <w:rFonts w:ascii="Arial" w:hAnsi="Arial" w:cs="Arial"/>
                          <w:b/>
                          <w:iCs/>
                        </w:rPr>
                        <w:t>DATA DE ABERTURA: 23/07/2021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v:textbox>
              </v:shape>
            </w:pict>
          </mc:Fallback>
        </mc:AlternateContent>
      </w: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firstLine="687"/>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4.2</w:t>
      </w:r>
      <w:r>
        <w:rPr>
          <w:rFonts w:eastAsia="Times New Roman"/>
          <w:iCs/>
          <w:sz w:val="24"/>
          <w:szCs w:val="24"/>
          <w:lang w:eastAsia="pt-BR"/>
        </w:rPr>
        <w:tab/>
      </w:r>
      <w:r>
        <w:rPr>
          <w:rFonts w:eastAsia="Times New Roman"/>
          <w:iCs/>
          <w:sz w:val="24"/>
          <w:szCs w:val="24"/>
          <w:lang w:eastAsia="pt-BR"/>
        </w:rPr>
        <w:t xml:space="preserve"> Os documentos exigidos no </w:t>
      </w:r>
      <w:r>
        <w:rPr>
          <w:rFonts w:eastAsia="Times New Roman"/>
          <w:b/>
          <w:iCs/>
          <w:sz w:val="24"/>
          <w:szCs w:val="24"/>
          <w:u w:val="single"/>
          <w:lang w:eastAsia="pt-BR"/>
        </w:rPr>
        <w:t>ENVELOPE 01 – HABILITAÇÃO-</w:t>
      </w:r>
      <w:r>
        <w:rPr>
          <w:rFonts w:eastAsia="Times New Roman"/>
          <w:iCs/>
          <w:sz w:val="24"/>
          <w:szCs w:val="24"/>
          <w:lang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ind w:left="567" w:hanging="567"/>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4.3</w:t>
      </w:r>
      <w:r>
        <w:rPr>
          <w:rFonts w:eastAsia="Times New Roman"/>
          <w:iCs/>
          <w:sz w:val="24"/>
          <w:szCs w:val="24"/>
          <w:lang w:eastAsia="pt-BR"/>
        </w:rPr>
        <w:tab/>
      </w:r>
      <w:r>
        <w:rPr>
          <w:rFonts w:eastAsia="Times New Roman"/>
          <w:iCs/>
          <w:sz w:val="24"/>
          <w:szCs w:val="24"/>
          <w:lang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4.4</w:t>
      </w:r>
      <w:r>
        <w:rPr>
          <w:rFonts w:eastAsia="Times New Roman"/>
          <w:iCs/>
          <w:sz w:val="24"/>
          <w:szCs w:val="24"/>
          <w:lang w:eastAsia="pt-BR"/>
        </w:rPr>
        <w:tab/>
      </w:r>
      <w:r>
        <w:rPr>
          <w:rFonts w:eastAsia="Times New Roman"/>
          <w:iCs/>
          <w:sz w:val="24"/>
          <w:szCs w:val="24"/>
          <w:lang w:eastAsia="pt-BR"/>
        </w:rPr>
        <w:t>Não serão admitidas, sob qualquer motivo, modificações ou substituições da proposta ou de quaisquer documentos, exceto aqueles previstos nas Leis Complementares 123/2006 e 147/14.</w:t>
      </w:r>
    </w:p>
    <w:p>
      <w:pPr>
        <w:overflowPunct w:val="0"/>
        <w:autoSpaceDE w:val="0"/>
        <w:autoSpaceDN w:val="0"/>
        <w:adjustRightInd w:val="0"/>
        <w:spacing w:after="0" w:line="240" w:lineRule="auto"/>
        <w:ind w:left="426"/>
        <w:contextualSpacing/>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eastAsia="Times New Roman"/>
          <w:b/>
          <w:sz w:val="24"/>
          <w:szCs w:val="24"/>
        </w:rPr>
      </w:pPr>
      <w:r>
        <w:rPr>
          <w:rFonts w:eastAsia="Times New Roman"/>
          <w:b/>
          <w:sz w:val="24"/>
          <w:szCs w:val="24"/>
        </w:rPr>
        <w:t>CREDENCIAMENTO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ind w:left="567" w:hanging="567"/>
        <w:jc w:val="both"/>
        <w:rPr>
          <w:rFonts w:eastAsia="Calibri"/>
          <w:sz w:val="24"/>
          <w:szCs w:val="24"/>
        </w:rPr>
      </w:pPr>
      <w:r>
        <w:rPr>
          <w:rFonts w:eastAsia="Calibri"/>
          <w:sz w:val="24"/>
          <w:szCs w:val="24"/>
        </w:rPr>
        <w:t>5.1</w:t>
      </w:r>
      <w:r>
        <w:rPr>
          <w:rFonts w:eastAsia="Calibri"/>
          <w:sz w:val="24"/>
          <w:szCs w:val="24"/>
        </w:rPr>
        <w:tab/>
      </w:r>
      <w:r>
        <w:rPr>
          <w:rFonts w:eastAsia="Calibri"/>
          <w:sz w:val="24"/>
          <w:szCs w:val="24"/>
        </w:rPr>
        <w:t xml:space="preserve">O representante da Licitante </w:t>
      </w:r>
      <w:r>
        <w:rPr>
          <w:rFonts w:eastAsia="Calibri"/>
          <w:b/>
          <w:sz w:val="24"/>
          <w:szCs w:val="24"/>
          <w:u w:val="single"/>
        </w:rPr>
        <w:t>deverá</w:t>
      </w:r>
      <w:r>
        <w:rPr>
          <w:rFonts w:eastAsia="Calibri"/>
          <w:b/>
          <w:sz w:val="24"/>
          <w:szCs w:val="24"/>
        </w:rPr>
        <w:t xml:space="preserve"> </w:t>
      </w:r>
      <w:r>
        <w:rPr>
          <w:rFonts w:eastAsia="Calibri"/>
          <w:sz w:val="24"/>
          <w:szCs w:val="24"/>
        </w:rPr>
        <w:t>apresentar para</w:t>
      </w:r>
      <w:r>
        <w:rPr>
          <w:rFonts w:eastAsia="Calibri"/>
          <w:b/>
          <w:sz w:val="24"/>
          <w:szCs w:val="24"/>
        </w:rPr>
        <w:t xml:space="preserve"> </w:t>
      </w:r>
      <w:r>
        <w:rPr>
          <w:rFonts w:eastAsia="Calibri"/>
          <w:sz w:val="24"/>
          <w:szCs w:val="24"/>
        </w:rPr>
        <w:t>credenciar-se, no dia, local e horário previsto no preâmbulo deste Edital, munido de:</w:t>
      </w:r>
    </w:p>
    <w:p>
      <w:pPr>
        <w:pStyle w:val="46"/>
        <w:shd w:val="clear" w:color="auto" w:fill="F2F2F2"/>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Documento oficial com foto</w:t>
      </w:r>
    </w:p>
    <w:p>
      <w:pPr>
        <w:pStyle w:val="46"/>
        <w:spacing w:after="0" w:line="240" w:lineRule="auto"/>
        <w:jc w:val="both"/>
        <w:rPr>
          <w:rFonts w:ascii="Times New Roman" w:hAnsi="Times New Roman"/>
          <w:sz w:val="24"/>
          <w:szCs w:val="24"/>
        </w:rPr>
      </w:pPr>
      <w:r>
        <w:rPr>
          <w:rFonts w:ascii="Times New Roman" w:hAnsi="Times New Roman"/>
          <w:b/>
          <w:sz w:val="24"/>
          <w:szCs w:val="24"/>
        </w:rPr>
        <w:t>b</w:t>
      </w:r>
      <w:r>
        <w:rPr>
          <w:rFonts w:ascii="Times New Roman" w:hAnsi="Times New Roman"/>
          <w:sz w:val="24"/>
          <w:szCs w:val="24"/>
        </w:rPr>
        <w:t xml:space="preserve">) Carta de Credenciamento (Anexo III) </w:t>
      </w:r>
    </w:p>
    <w:p>
      <w:pPr>
        <w:ind w:right="-1"/>
        <w:jc w:val="both"/>
        <w:rPr>
          <w:iCs/>
          <w:sz w:val="24"/>
          <w:szCs w:val="24"/>
        </w:rPr>
      </w:pPr>
    </w:p>
    <w:p>
      <w:pPr>
        <w:pStyle w:val="46"/>
        <w:numPr>
          <w:ilvl w:val="2"/>
          <w:numId w:val="3"/>
        </w:numPr>
        <w:overflowPunct w:val="0"/>
        <w:autoSpaceDE w:val="0"/>
        <w:autoSpaceDN w:val="0"/>
        <w:adjustRightInd w:val="0"/>
        <w:jc w:val="both"/>
        <w:textAlignment w:val="baseline"/>
        <w:rPr>
          <w:rFonts w:ascii="Times New Roman" w:hAnsi="Times New Roman"/>
          <w:sz w:val="24"/>
          <w:szCs w:val="24"/>
        </w:rPr>
      </w:pPr>
      <w:r>
        <w:rPr>
          <w:rFonts w:ascii="Times New Roman" w:hAnsi="Times New Roman"/>
          <w:sz w:val="24"/>
          <w:szCs w:val="24"/>
        </w:rPr>
        <w:t xml:space="preserve">Em se tratando de </w:t>
      </w:r>
      <w:r>
        <w:rPr>
          <w:rFonts w:ascii="Times New Roman" w:hAnsi="Times New Roman"/>
          <w:b/>
          <w:sz w:val="24"/>
          <w:szCs w:val="24"/>
          <w:u w:val="single"/>
        </w:rPr>
        <w:t>preposto/procurador</w:t>
      </w:r>
      <w:r>
        <w:rPr>
          <w:rFonts w:ascii="Times New Roman" w:hAnsi="Times New Roman"/>
          <w:sz w:val="24"/>
          <w:szCs w:val="24"/>
        </w:rPr>
        <w:t xml:space="preserve"> deverá a carta de credenciamento ser </w:t>
      </w:r>
      <w:r>
        <w:rPr>
          <w:rFonts w:ascii="Times New Roman" w:hAnsi="Times New Roman"/>
          <w:b/>
          <w:sz w:val="24"/>
          <w:szCs w:val="24"/>
          <w:u w:val="single"/>
        </w:rPr>
        <w:t>acompanhada de procuração</w:t>
      </w:r>
      <w:r>
        <w:rPr>
          <w:rFonts w:ascii="Times New Roman" w:hAnsi="Times New Roman"/>
          <w:sz w:val="24"/>
          <w:szCs w:val="24"/>
        </w:rPr>
        <w:t xml:space="preserve"> (documento em original ou por copia autentica). </w:t>
      </w:r>
    </w:p>
    <w:p>
      <w:pPr>
        <w:pStyle w:val="46"/>
        <w:ind w:left="851"/>
        <w:rPr>
          <w:rFonts w:ascii="Times New Roman" w:hAnsi="Times New Roman"/>
          <w:b/>
          <w:bCs/>
          <w:sz w:val="24"/>
          <w:szCs w:val="24"/>
          <w:lang w:eastAsia="pt-BR"/>
        </w:rPr>
      </w:pP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A procuração para o ato deverá ter </w:t>
      </w:r>
      <w:r>
        <w:rPr>
          <w:rFonts w:ascii="Times New Roman" w:hAnsi="Times New Roman" w:eastAsia="Times New Roman"/>
          <w:b/>
          <w:sz w:val="24"/>
          <w:szCs w:val="24"/>
          <w:u w:val="single"/>
          <w:lang w:eastAsia="pt-BR"/>
        </w:rPr>
        <w:t>reconhecimento de firma</w:t>
      </w:r>
      <w:r>
        <w:rPr>
          <w:rFonts w:ascii="Times New Roman" w:hAnsi="Times New Roman" w:eastAsia="Times New Roman"/>
          <w:sz w:val="24"/>
          <w:szCs w:val="24"/>
          <w:lang w:eastAsia="pt-BR"/>
        </w:rPr>
        <w:t xml:space="preserve"> do representante legal da empresa. </w:t>
      </w:r>
    </w:p>
    <w:p>
      <w:pPr>
        <w:pStyle w:val="46"/>
        <w:overflowPunct w:val="0"/>
        <w:autoSpaceDE w:val="0"/>
        <w:autoSpaceDN w:val="0"/>
        <w:adjustRightInd w:val="0"/>
        <w:ind w:left="1211"/>
        <w:jc w:val="both"/>
        <w:textAlignment w:val="baseline"/>
        <w:rPr>
          <w:rFonts w:ascii="Times New Roman" w:hAnsi="Times New Roman" w:eastAsia="Times New Roman"/>
          <w:sz w:val="24"/>
          <w:szCs w:val="24"/>
          <w:lang w:eastAsia="pt-BR"/>
        </w:rPr>
      </w:pPr>
    </w:p>
    <w:p>
      <w:pPr>
        <w:pStyle w:val="46"/>
        <w:numPr>
          <w:ilvl w:val="1"/>
          <w:numId w:val="5"/>
        </w:numPr>
        <w:overflowPunct w:val="0"/>
        <w:autoSpaceDE w:val="0"/>
        <w:autoSpaceDN w:val="0"/>
        <w:adjustRightInd w:val="0"/>
        <w:ind w:left="426"/>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  Os documentos para o credenciamento citados nos subitens anteriores deverão ser apresentados em sobrecarta </w:t>
      </w:r>
      <w:r>
        <w:rPr>
          <w:rFonts w:ascii="Times New Roman" w:hAnsi="Times New Roman" w:eastAsia="Times New Roman"/>
          <w:b/>
          <w:sz w:val="24"/>
          <w:szCs w:val="24"/>
          <w:lang w:eastAsia="pt-BR"/>
        </w:rPr>
        <w:t>(FORA DOS ENVELOPES).</w:t>
      </w:r>
    </w:p>
    <w:p>
      <w:pPr>
        <w:ind w:left="567" w:hanging="567"/>
        <w:jc w:val="both"/>
        <w:rPr>
          <w:sz w:val="24"/>
          <w:szCs w:val="24"/>
        </w:rPr>
      </w:pPr>
      <w:r>
        <w:rPr>
          <w:sz w:val="24"/>
          <w:szCs w:val="24"/>
        </w:rPr>
        <w:t>5.3</w:t>
      </w:r>
      <w:r>
        <w:rPr>
          <w:sz w:val="24"/>
          <w:szCs w:val="24"/>
        </w:rPr>
        <w:tab/>
      </w:r>
      <w:r>
        <w:rPr>
          <w:sz w:val="24"/>
          <w:szCs w:val="24"/>
        </w:rPr>
        <w:t>Para se manifestar nas fases do procedimento licitatório, a empresa licitante poderá credenciar</w:t>
      </w:r>
      <w:r>
        <w:rPr>
          <w:b/>
          <w:sz w:val="24"/>
          <w:szCs w:val="24"/>
        </w:rPr>
        <w:t xml:space="preserve"> apenas um representante</w:t>
      </w:r>
      <w:r>
        <w:rPr>
          <w:sz w:val="24"/>
          <w:szCs w:val="24"/>
        </w:rPr>
        <w:t>.</w:t>
      </w:r>
    </w:p>
    <w:p>
      <w:pPr>
        <w:ind w:left="567" w:hanging="567"/>
        <w:jc w:val="both"/>
        <w:rPr>
          <w:sz w:val="24"/>
          <w:szCs w:val="24"/>
        </w:rPr>
      </w:pPr>
      <w:r>
        <w:rPr>
          <w:sz w:val="24"/>
          <w:szCs w:val="24"/>
        </w:rPr>
        <w:t>5.4</w:t>
      </w:r>
      <w:r>
        <w:rPr>
          <w:sz w:val="24"/>
          <w:szCs w:val="24"/>
        </w:rPr>
        <w:tab/>
      </w:r>
      <w:r>
        <w:rPr>
          <w:sz w:val="24"/>
          <w:szCs w:val="24"/>
        </w:rPr>
        <w:t>Pessoas não credenciadas para o certame, não poderão se manifestar e nem responder pela (s) participante (s). Somente os representantes credenciados terão poder de manifesto.</w:t>
      </w:r>
    </w:p>
    <w:p>
      <w:pPr>
        <w:ind w:left="567" w:hanging="567"/>
        <w:jc w:val="both"/>
        <w:rPr>
          <w:sz w:val="24"/>
          <w:szCs w:val="24"/>
        </w:rPr>
      </w:pPr>
      <w:r>
        <w:rPr>
          <w:sz w:val="24"/>
          <w:szCs w:val="24"/>
        </w:rPr>
        <w:t>5.5</w:t>
      </w:r>
      <w:r>
        <w:rPr>
          <w:sz w:val="24"/>
          <w:szCs w:val="24"/>
        </w:rPr>
        <w:tab/>
      </w:r>
      <w:r>
        <w:rPr>
          <w:sz w:val="24"/>
          <w:szCs w:val="24"/>
        </w:rPr>
        <w:t>A falta de credenciamento não inabilitará a Licitante</w:t>
      </w:r>
      <w:r>
        <w:rPr>
          <w:b/>
          <w:sz w:val="24"/>
          <w:szCs w:val="24"/>
        </w:rPr>
        <w:t xml:space="preserve">, </w:t>
      </w:r>
      <w:r>
        <w:rPr>
          <w:sz w:val="24"/>
          <w:szCs w:val="24"/>
        </w:rPr>
        <w:t>mas impedirá o seu representante de se manifestar e responder em nome desta.</w:t>
      </w: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b/>
          <w:sz w:val="24"/>
          <w:szCs w:val="24"/>
        </w:rPr>
        <w:t>Paragrafo Único</w:t>
      </w:r>
      <w:r>
        <w:rPr>
          <w:rFonts w:ascii="Times New Roman" w:hAnsi="Times New Roman"/>
          <w:sz w:val="24"/>
          <w:szCs w:val="24"/>
        </w:rPr>
        <w:t xml:space="preserve"> – Para o credenciamento de representante </w:t>
      </w:r>
      <w:r>
        <w:rPr>
          <w:rFonts w:ascii="Times New Roman" w:hAnsi="Times New Roman"/>
          <w:b/>
          <w:sz w:val="24"/>
          <w:szCs w:val="24"/>
        </w:rPr>
        <w:t>NÃO</w:t>
      </w:r>
      <w:r>
        <w:rPr>
          <w:rFonts w:ascii="Times New Roman" w:hAnsi="Times New Roman"/>
          <w:sz w:val="24"/>
          <w:szCs w:val="24"/>
        </w:rPr>
        <w:t xml:space="preserve"> se exige a apresentação de CONTRATO SOCIAL. Porém a empresa que apresentar o documento no credenciamento </w:t>
      </w:r>
      <w:r>
        <w:rPr>
          <w:rFonts w:ascii="Times New Roman" w:hAnsi="Times New Roman"/>
          <w:b/>
          <w:sz w:val="24"/>
          <w:szCs w:val="24"/>
        </w:rPr>
        <w:t>NÃO</w:t>
      </w:r>
      <w:r>
        <w:rPr>
          <w:rFonts w:ascii="Times New Roman" w:hAnsi="Times New Roman"/>
          <w:sz w:val="24"/>
          <w:szCs w:val="24"/>
        </w:rPr>
        <w:t xml:space="preserve"> estará dispensada de apresentar no item 6.1.1.1 (HABILITAÇÃO).</w:t>
      </w:r>
    </w:p>
    <w:p>
      <w:pPr>
        <w:ind w:left="142" w:right="-1"/>
        <w:jc w:val="both"/>
        <w:rPr>
          <w:b/>
          <w:bCs/>
          <w:iCs/>
          <w:sz w:val="24"/>
          <w:szCs w:val="24"/>
        </w:rPr>
      </w:pPr>
      <w:r>
        <w:rPr>
          <w:rFonts w:eastAsia="Times New Roman"/>
          <w:b/>
          <w:sz w:val="24"/>
          <w:szCs w:val="24"/>
        </w:rPr>
        <w:t>DA HABILITAÇÃO</w:t>
      </w:r>
    </w:p>
    <w:p>
      <w:pPr>
        <w:ind w:left="567" w:hanging="567"/>
        <w:jc w:val="both"/>
        <w:rPr>
          <w:sz w:val="24"/>
          <w:szCs w:val="24"/>
        </w:rPr>
      </w:pPr>
      <w:r>
        <w:rPr>
          <w:sz w:val="24"/>
          <w:szCs w:val="24"/>
        </w:rPr>
        <w:t>6.1</w:t>
      </w:r>
      <w:r>
        <w:rPr>
          <w:b/>
          <w:sz w:val="24"/>
          <w:szCs w:val="24"/>
        </w:rPr>
        <w:tab/>
      </w:r>
      <w:r>
        <w:rPr>
          <w:sz w:val="24"/>
          <w:szCs w:val="24"/>
        </w:rPr>
        <w:t>A Habilitação para a participação nesta Tomada de Preços compreende:</w:t>
      </w:r>
    </w:p>
    <w:p>
      <w:pPr>
        <w:ind w:left="851" w:hanging="851"/>
        <w:jc w:val="both"/>
        <w:rPr>
          <w:b/>
          <w:sz w:val="24"/>
          <w:szCs w:val="24"/>
        </w:rPr>
      </w:pPr>
    </w:p>
    <w:p>
      <w:pPr>
        <w:ind w:left="851" w:hanging="851"/>
        <w:jc w:val="both"/>
        <w:rPr>
          <w:b/>
          <w:sz w:val="24"/>
          <w:szCs w:val="24"/>
        </w:rPr>
      </w:pPr>
      <w:r>
        <w:rPr>
          <w:b/>
          <w:sz w:val="24"/>
          <w:szCs w:val="24"/>
        </w:rPr>
        <w:t>6.1.1</w:t>
      </w:r>
      <w:r>
        <w:rPr>
          <w:b/>
          <w:sz w:val="24"/>
          <w:szCs w:val="24"/>
        </w:rPr>
        <w:tab/>
      </w:r>
      <w:r>
        <w:rPr>
          <w:b/>
          <w:sz w:val="24"/>
          <w:szCs w:val="24"/>
        </w:rPr>
        <w:t>Relativa à habilitação jurídica</w:t>
      </w:r>
      <w:r>
        <w:rPr>
          <w:sz w:val="24"/>
          <w:szCs w:val="24"/>
        </w:rPr>
        <w:t>:</w:t>
      </w:r>
    </w:p>
    <w:p>
      <w:pPr>
        <w:shd w:val="clear" w:color="auto" w:fill="F2F2F2"/>
        <w:ind w:left="851" w:hanging="851"/>
        <w:jc w:val="both"/>
        <w:rPr>
          <w:sz w:val="24"/>
          <w:szCs w:val="24"/>
        </w:rPr>
      </w:pPr>
      <w:r>
        <w:rPr>
          <w:sz w:val="24"/>
          <w:szCs w:val="24"/>
        </w:rPr>
        <w:t>6.1.1.1</w:t>
      </w:r>
      <w:r>
        <w:rPr>
          <w:sz w:val="24"/>
          <w:szCs w:val="24"/>
        </w:rPr>
        <w:tab/>
      </w:r>
      <w:r>
        <w:rPr>
          <w:bCs/>
          <w:iCs/>
          <w:sz w:val="24"/>
          <w:szCs w:val="24"/>
        </w:rPr>
        <w:t xml:space="preserve">Registro comercial, no caso de </w:t>
      </w:r>
      <w:r>
        <w:rPr>
          <w:bCs/>
          <w:iCs/>
          <w:sz w:val="24"/>
          <w:szCs w:val="24"/>
          <w:u w:val="single"/>
        </w:rPr>
        <w:t>empresa individual,</w:t>
      </w:r>
      <w:r>
        <w:rPr>
          <w:bCs/>
          <w:iCs/>
          <w:sz w:val="24"/>
          <w:szCs w:val="24"/>
        </w:rPr>
        <w:t xml:space="preserve"> ou Ato constitutivo, estatuto ou contrato social em vigor, devidamente registrado, em se tratando de </w:t>
      </w:r>
      <w:r>
        <w:rPr>
          <w:bCs/>
          <w:iCs/>
          <w:sz w:val="24"/>
          <w:szCs w:val="24"/>
          <w:u w:val="single"/>
        </w:rPr>
        <w:t>sociedades comerciais</w:t>
      </w:r>
      <w:r>
        <w:rPr>
          <w:bCs/>
          <w:iCs/>
          <w:sz w:val="24"/>
          <w:szCs w:val="24"/>
        </w:rPr>
        <w:t xml:space="preserve">, e no caso de </w:t>
      </w:r>
      <w:r>
        <w:rPr>
          <w:bCs/>
          <w:iCs/>
          <w:sz w:val="24"/>
          <w:szCs w:val="24"/>
          <w:u w:val="single"/>
        </w:rPr>
        <w:t>sociedades por ações</w:t>
      </w:r>
      <w:r>
        <w:rPr>
          <w:bCs/>
          <w:iCs/>
          <w:sz w:val="24"/>
          <w:szCs w:val="24"/>
        </w:rPr>
        <w:t xml:space="preserve">, acompanhado de documentos de eleição de seus administradores, ou Inscrição do ato constitutivo, no caso de </w:t>
      </w:r>
      <w:r>
        <w:rPr>
          <w:bCs/>
          <w:iCs/>
          <w:sz w:val="24"/>
          <w:szCs w:val="24"/>
          <w:u w:val="single"/>
        </w:rPr>
        <w:t>sociedades civis</w:t>
      </w:r>
      <w:r>
        <w:rPr>
          <w:bCs/>
          <w:iCs/>
          <w:sz w:val="24"/>
          <w:szCs w:val="24"/>
        </w:rPr>
        <w:t xml:space="preserve">, acompanhada de prova de diretoria em exercício, ou ainda Decreto de autorização, em se tratando de </w:t>
      </w:r>
      <w:r>
        <w:rPr>
          <w:bCs/>
          <w:iCs/>
          <w:sz w:val="24"/>
          <w:szCs w:val="24"/>
          <w:u w:val="single"/>
        </w:rPr>
        <w:t>empresa ou sociedade estrangeira</w:t>
      </w:r>
      <w:r>
        <w:rPr>
          <w:bCs/>
          <w:iCs/>
          <w:sz w:val="24"/>
          <w:szCs w:val="24"/>
        </w:rPr>
        <w:t xml:space="preserve"> em funcionamento no País, e ato registro ou autorização para funcionamento expedido pelo órgão competente, quando a atividade assim exigir.</w:t>
      </w:r>
    </w:p>
    <w:p>
      <w:pPr>
        <w:pStyle w:val="47"/>
        <w:ind w:left="567" w:hanging="567"/>
        <w:jc w:val="both"/>
        <w:rPr>
          <w:rFonts w:ascii="Times New Roman" w:hAnsi="Times New Roman" w:cs="Times New Roman"/>
        </w:rPr>
      </w:pPr>
    </w:p>
    <w:p>
      <w:pPr>
        <w:ind w:right="-142"/>
        <w:jc w:val="both"/>
        <w:rPr>
          <w:sz w:val="24"/>
          <w:szCs w:val="24"/>
        </w:rPr>
      </w:pPr>
      <w:r>
        <w:rPr>
          <w:sz w:val="24"/>
          <w:szCs w:val="24"/>
        </w:rPr>
        <w:t>6.1.1.2</w:t>
      </w:r>
      <w:r>
        <w:rPr>
          <w:sz w:val="24"/>
          <w:szCs w:val="24"/>
        </w:rPr>
        <w:tab/>
      </w:r>
      <w:r>
        <w:rPr>
          <w:sz w:val="24"/>
          <w:szCs w:val="24"/>
        </w:rPr>
        <w:t xml:space="preserve"> Certidão negativa de </w:t>
      </w:r>
      <w:r>
        <w:rPr>
          <w:b/>
          <w:sz w:val="24"/>
          <w:szCs w:val="24"/>
          <w:u w:val="single"/>
        </w:rPr>
        <w:t>falência ou concordata</w:t>
      </w:r>
      <w:r>
        <w:rPr>
          <w:sz w:val="24"/>
          <w:szCs w:val="24"/>
        </w:rPr>
        <w:t>, expedida pelo distribuidor ou distribuidores, se for o caso, da sede da pessoa jurídica, que esteja dentro do prazo de validade expresso na própria certidão. Caso não houver prazo fixado, a validade será de 60 (sessenta) dias;</w:t>
      </w:r>
    </w:p>
    <w:p>
      <w:pPr>
        <w:pStyle w:val="47"/>
        <w:ind w:left="567" w:hanging="567"/>
        <w:jc w:val="both"/>
        <w:rPr>
          <w:rFonts w:ascii="Times New Roman" w:hAnsi="Times New Roman" w:cs="Times New Roman"/>
        </w:rPr>
      </w:pPr>
    </w:p>
    <w:p>
      <w:pPr>
        <w:pStyle w:val="47"/>
        <w:shd w:val="clear" w:color="auto" w:fill="F2F2F2"/>
        <w:ind w:left="851" w:hanging="851"/>
        <w:jc w:val="both"/>
        <w:rPr>
          <w:rFonts w:ascii="Times New Roman" w:hAnsi="Times New Roman" w:cs="Times New Roman"/>
        </w:rPr>
      </w:pPr>
      <w:r>
        <w:rPr>
          <w:rFonts w:ascii="Times New Roman" w:hAnsi="Times New Roman" w:cs="Times New Roman"/>
        </w:rPr>
        <w:t>6.1.1.3</w:t>
      </w:r>
      <w:r>
        <w:rPr>
          <w:rFonts w:ascii="Times New Roman" w:hAnsi="Times New Roman" w:cs="Times New Roman"/>
        </w:rPr>
        <w:tab/>
      </w:r>
      <w:r>
        <w:rPr>
          <w:rFonts w:ascii="Times New Roman" w:hAnsi="Times New Roman" w:cs="Times New Roman"/>
        </w:rPr>
        <w:t>Certificado de Inscrição Cadastral junto à Prefeitura Municipal de Naviraí – MS</w:t>
      </w:r>
    </w:p>
    <w:p>
      <w:pPr>
        <w:pStyle w:val="47"/>
        <w:ind w:left="567" w:hanging="567"/>
        <w:jc w:val="both"/>
        <w:rPr>
          <w:rFonts w:ascii="Times New Roman" w:hAnsi="Times New Roman" w:cs="Times New Roman"/>
        </w:rPr>
      </w:pPr>
    </w:p>
    <w:p>
      <w:pPr>
        <w:pStyle w:val="47"/>
        <w:ind w:left="567" w:hanging="567"/>
        <w:jc w:val="both"/>
        <w:rPr>
          <w:rFonts w:ascii="Times New Roman" w:hAnsi="Times New Roman" w:cs="Times New Roman"/>
        </w:rPr>
      </w:pPr>
      <w:r>
        <w:rPr>
          <w:rFonts w:ascii="Times New Roman" w:hAnsi="Times New Roman" w:cs="Times New Roman"/>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w:instrText>
      </w:r>
      <w:r>
        <w:fldChar w:fldCharType="separate"/>
      </w:r>
      <w:r>
        <w:fldChar w:fldCharType="end"/>
      </w:r>
      <w:r>
        <w:rPr>
          <w:rFonts w:ascii="Times New Roman" w:hAnsi="Times New Roman" w:cs="Times New Roman"/>
          <w:color w:val="FF0000"/>
          <w:u w:val="single"/>
        </w:rPr>
        <w:t>pregaonavirai@gmail.com</w:t>
      </w:r>
      <w:r>
        <w:rPr>
          <w:rFonts w:ascii="Times New Roman" w:hAnsi="Times New Roman" w:cs="Times New Roman"/>
        </w:rPr>
        <w:t xml:space="preserve">, de segunda a sexta-feira, no horário que compreende das </w:t>
      </w:r>
      <w:r>
        <w:rPr>
          <w:rFonts w:ascii="Times New Roman" w:hAnsi="Times New Roman" w:cs="Times New Roman"/>
          <w:b/>
        </w:rPr>
        <w:t>7h às 13h.</w:t>
      </w:r>
      <w:r>
        <w:rPr>
          <w:rFonts w:ascii="Times New Roman" w:hAnsi="Times New Roman" w:cs="Times New Roman"/>
        </w:rPr>
        <w:t xml:space="preserve"> </w:t>
      </w:r>
    </w:p>
    <w:p>
      <w:pPr>
        <w:pStyle w:val="47"/>
        <w:jc w:val="both"/>
        <w:rPr>
          <w:rFonts w:ascii="Times New Roman" w:hAnsi="Times New Roman" w:cs="Times New Roman"/>
          <w:highlight w:val="yellow"/>
        </w:rPr>
      </w:pPr>
    </w:p>
    <w:p>
      <w:pPr>
        <w:pStyle w:val="47"/>
        <w:jc w:val="both"/>
        <w:rPr>
          <w:rFonts w:ascii="Times New Roman" w:hAnsi="Times New Roman" w:cs="Times New Roman"/>
        </w:rPr>
      </w:pPr>
      <w:r>
        <w:rPr>
          <w:rFonts w:ascii="Times New Roman" w:hAnsi="Times New Roman" w:cs="Times New Roman"/>
        </w:rPr>
        <w:t xml:space="preserve">6.1.1.5 As empresas que desejam realizar ou renovar o Cadastro de Fornecedor deverão entregar à Comissão de Cadastro de Fornecedores, toda a documentação necessária. </w:t>
      </w:r>
    </w:p>
    <w:p>
      <w:pPr>
        <w:pStyle w:val="47"/>
        <w:jc w:val="both"/>
        <w:rPr>
          <w:rFonts w:ascii="Times New Roman" w:hAnsi="Times New Roman" w:cs="Times New Roman"/>
        </w:rPr>
      </w:pP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r>
        <w:rPr>
          <w:sz w:val="24"/>
          <w:szCs w:val="24"/>
        </w:rPr>
        <w:t xml:space="preserve">6.1.1.6 </w:t>
      </w:r>
      <w:r>
        <w:rPr>
          <w:sz w:val="24"/>
          <w:szCs w:val="24"/>
          <w:u w:val="single"/>
        </w:rPr>
        <w:t xml:space="preserve">As reuniões da Comissão de Cadastro de Fornecedor para análise de documentos e emissão de certificados são realizadas as </w:t>
      </w:r>
      <w:r>
        <w:rPr>
          <w:b/>
          <w:sz w:val="24"/>
          <w:szCs w:val="24"/>
          <w:u w:val="single"/>
        </w:rPr>
        <w:t>SEXTAS-FEIRAS, às 10h: 30min</w:t>
      </w:r>
      <w:r>
        <w:rPr>
          <w:sz w:val="24"/>
          <w:szCs w:val="24"/>
        </w:rPr>
        <w:t>, para que a documentação seja analisada o protocolo da documentação deverá ser feita até o dia anterior em horário de expediente do órgão.</w:t>
      </w: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color w:val="000000"/>
          <w:sz w:val="21"/>
          <w:szCs w:val="21"/>
          <w:lang w:eastAsia="pt-BR"/>
        </w:rPr>
      </w:pPr>
      <w:r>
        <w:rPr>
          <w:b/>
          <w:sz w:val="24"/>
          <w:szCs w:val="24"/>
        </w:rPr>
        <w:t>Paragrafo Único</w:t>
      </w:r>
      <w:r>
        <w:rPr>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t xml:space="preserve"> 22 §2º,  Lei nº 8.666/93).</w:t>
      </w:r>
    </w:p>
    <w:p>
      <w:pPr>
        <w:keepNext/>
        <w:keepLines/>
        <w:widowControl w:val="0"/>
        <w:overflowPunct w:val="0"/>
        <w:autoSpaceDE w:val="0"/>
        <w:autoSpaceDN w:val="0"/>
        <w:adjustRightInd w:val="0"/>
        <w:spacing w:before="20" w:after="0" w:line="240" w:lineRule="auto"/>
        <w:ind w:left="567"/>
        <w:jc w:val="both"/>
        <w:textAlignment w:val="baseline"/>
        <w:rPr>
          <w:rFonts w:eastAsia="Times New Roman"/>
          <w:color w:val="000000"/>
          <w:sz w:val="24"/>
          <w:szCs w:val="24"/>
          <w:lang w:eastAsia="pt-BR"/>
        </w:rPr>
      </w:pPr>
    </w:p>
    <w:p>
      <w:pPr>
        <w:autoSpaceDE w:val="0"/>
        <w:autoSpaceDN w:val="0"/>
        <w:adjustRightInd w:val="0"/>
        <w:spacing w:after="0" w:line="240" w:lineRule="auto"/>
        <w:ind w:left="851" w:hanging="851"/>
        <w:jc w:val="both"/>
        <w:rPr>
          <w:rFonts w:eastAsia="Times New Roman"/>
          <w:color w:val="000000"/>
          <w:sz w:val="24"/>
          <w:szCs w:val="24"/>
          <w:lang w:eastAsia="pt-BR"/>
        </w:rPr>
      </w:pPr>
      <w:r>
        <w:rPr>
          <w:rFonts w:eastAsia="Times New Roman"/>
          <w:b/>
          <w:color w:val="000000"/>
          <w:sz w:val="24"/>
          <w:szCs w:val="24"/>
          <w:lang w:eastAsia="pt-BR"/>
        </w:rPr>
        <w:t>6.1.2</w:t>
      </w:r>
      <w:r>
        <w:rPr>
          <w:rFonts w:eastAsia="Times New Roman"/>
          <w:b/>
          <w:color w:val="000000"/>
          <w:sz w:val="24"/>
          <w:szCs w:val="24"/>
          <w:lang w:eastAsia="pt-BR"/>
        </w:rPr>
        <w:tab/>
      </w:r>
      <w:r>
        <w:rPr>
          <w:rFonts w:eastAsia="Times New Roman"/>
          <w:b/>
          <w:color w:val="000000"/>
          <w:sz w:val="24"/>
          <w:szCs w:val="24"/>
          <w:lang w:eastAsia="pt-BR"/>
        </w:rPr>
        <w:t>Relativa à qualificação técnica</w:t>
      </w:r>
      <w:r>
        <w:rPr>
          <w:rFonts w:eastAsia="Times New Roman"/>
          <w:color w:val="000000"/>
          <w:sz w:val="24"/>
          <w:szCs w:val="24"/>
          <w:lang w:eastAsia="pt-BR"/>
        </w:rPr>
        <w:t>:</w:t>
      </w:r>
    </w:p>
    <w:p>
      <w:pPr>
        <w:autoSpaceDE w:val="0"/>
        <w:autoSpaceDN w:val="0"/>
        <w:adjustRightInd w:val="0"/>
        <w:spacing w:after="0" w:line="360" w:lineRule="auto"/>
        <w:jc w:val="both"/>
        <w:rPr>
          <w:rFonts w:eastAsia="Times New Roman"/>
          <w:color w:val="000000"/>
          <w:sz w:val="24"/>
          <w:szCs w:val="24"/>
          <w:lang w:eastAsia="pt-BR"/>
        </w:rPr>
      </w:pPr>
      <w:r>
        <w:rPr>
          <w:sz w:val="24"/>
          <w:szCs w:val="24"/>
        </w:rPr>
        <w:t>Em conformidade com o decreto presidencial n° 10.306, DE 2 DE ABRIL DE 2020 que estabelece a utilização do Building Information Modelling na execução direta ou indireta de obras e serviços de engenharia realizada pelos órgãos e pelas entidades da administração publica federal, no âmbito da Estratégia Nacional de Disseminação do Building Information Modelling - Estratégia BIM BR, instituída pelo Decreto n° 9.983, de 22 de agosto de 2019, encaminhamos as exigências para qualificação técnica.</w:t>
      </w:r>
    </w:p>
    <w:p>
      <w:pPr>
        <w:autoSpaceDE w:val="0"/>
        <w:autoSpaceDN w:val="0"/>
        <w:adjustRightInd w:val="0"/>
        <w:spacing w:after="0" w:line="240" w:lineRule="auto"/>
        <w:jc w:val="both"/>
        <w:rPr>
          <w:rFonts w:eastAsia="Times New Roman"/>
          <w:color w:val="000000"/>
          <w:sz w:val="24"/>
          <w:szCs w:val="24"/>
          <w:lang w:eastAsia="pt-BR"/>
        </w:rPr>
      </w:pPr>
    </w:p>
    <w:p>
      <w:pPr>
        <w:tabs>
          <w:tab w:val="left" w:pos="400"/>
        </w:tabs>
        <w:autoSpaceDE w:val="0"/>
        <w:autoSpaceDN w:val="0"/>
        <w:adjustRightInd w:val="0"/>
        <w:spacing w:after="0" w:line="360" w:lineRule="auto"/>
        <w:jc w:val="both"/>
        <w:rPr>
          <w:bCs/>
          <w:iCs/>
          <w:sz w:val="24"/>
          <w:szCs w:val="24"/>
        </w:rPr>
      </w:pPr>
      <w:r>
        <w:rPr>
          <w:bCs/>
          <w:iCs/>
          <w:sz w:val="24"/>
          <w:szCs w:val="24"/>
        </w:rPr>
        <w:t xml:space="preserve">                </w:t>
      </w:r>
      <w:r>
        <w:rPr>
          <w:rFonts w:hint="default"/>
          <w:bCs/>
          <w:iCs/>
          <w:sz w:val="24"/>
          <w:szCs w:val="24"/>
          <w:lang w:val="pt-BR"/>
        </w:rPr>
        <w:t xml:space="preserve">               </w:t>
      </w:r>
      <w:r>
        <w:rPr>
          <w:bCs/>
          <w:iCs/>
          <w:sz w:val="24"/>
          <w:szCs w:val="24"/>
        </w:rPr>
        <w:t xml:space="preserve">    a)</w:t>
      </w:r>
      <w:r>
        <w:rPr>
          <w:rFonts w:hint="default"/>
          <w:bCs/>
          <w:iCs/>
          <w:sz w:val="24"/>
          <w:szCs w:val="24"/>
          <w:lang w:val="pt-BR"/>
        </w:rPr>
        <w:t xml:space="preserve"> </w:t>
      </w:r>
      <w:r>
        <w:rPr>
          <w:bCs/>
          <w:iCs/>
          <w:sz w:val="24"/>
          <w:szCs w:val="24"/>
        </w:rPr>
        <w:t>Capacitação técnico-operacional: apresentação de um ou mais atestados de capacidade técnica, devidamente registrado no Conselho Regional de Engenharia e Agronomia — CREA e Conselho de Arquitetura e Urbanismo — CAU, fornecido por pessoa jurídica de direito publico ou privado devidamente identificada, em nome do licitante, relativo a execução de elaboração de projetos, relativos ao acompanhamento de convenio junto aos órgãos estaduais e federais, compatível em características, quantidades e prazos com o objeto da presente licitação, envolvendo as parcelas de maior relevância e valor significativo do objeto da licitação;</w:t>
      </w:r>
    </w:p>
    <w:p>
      <w:pPr>
        <w:autoSpaceDE w:val="0"/>
        <w:autoSpaceDN w:val="0"/>
        <w:adjustRightInd w:val="0"/>
        <w:spacing w:after="0" w:line="360" w:lineRule="auto"/>
        <w:jc w:val="both"/>
        <w:rPr>
          <w:bCs/>
          <w:iCs/>
          <w:sz w:val="24"/>
          <w:szCs w:val="24"/>
        </w:rPr>
      </w:pPr>
      <w:r>
        <w:rPr>
          <w:bCs/>
          <w:iCs/>
          <w:sz w:val="24"/>
          <w:szCs w:val="24"/>
        </w:rPr>
        <w:tab/>
      </w:r>
      <w:r>
        <w:rPr>
          <w:bCs/>
          <w:iCs/>
          <w:sz w:val="24"/>
          <w:szCs w:val="24"/>
        </w:rPr>
        <w:tab/>
      </w:r>
      <w:r>
        <w:rPr>
          <w:bCs/>
          <w:iCs/>
          <w:sz w:val="24"/>
          <w:szCs w:val="24"/>
        </w:rPr>
        <w:tab/>
      </w:r>
      <w:r>
        <w:rPr>
          <w:bCs/>
          <w:iCs/>
          <w:sz w:val="24"/>
          <w:szCs w:val="24"/>
        </w:rPr>
        <w:t>b)</w:t>
      </w:r>
      <w:r>
        <w:rPr>
          <w:bCs/>
          <w:iCs/>
          <w:sz w:val="24"/>
          <w:szCs w:val="24"/>
        </w:rPr>
        <w:tab/>
      </w:r>
      <w:r>
        <w:rPr>
          <w:bCs/>
          <w:iCs/>
          <w:sz w:val="24"/>
          <w:szCs w:val="24"/>
        </w:rPr>
        <w:t>Prova de registro ou Inscrição da Empresa e de seus responsáveis técnicos junto ao Conselho Regional de Engenharia e Agronomia — CREA e Conselho de Arquitetura e Urbanismo — CAU, comprovando que os membros da equipe técnica pertencem ao quadro técnico da licitante.</w:t>
      </w:r>
    </w:p>
    <w:p>
      <w:pPr>
        <w:autoSpaceDE w:val="0"/>
        <w:autoSpaceDN w:val="0"/>
        <w:adjustRightInd w:val="0"/>
        <w:spacing w:after="0" w:line="360" w:lineRule="auto"/>
        <w:jc w:val="both"/>
        <w:rPr>
          <w:sz w:val="24"/>
          <w:szCs w:val="24"/>
        </w:rPr>
      </w:pPr>
      <w:r>
        <w:rPr>
          <w:bCs/>
          <w:iCs/>
          <w:sz w:val="24"/>
          <w:szCs w:val="24"/>
        </w:rPr>
        <w:tab/>
      </w:r>
      <w:r>
        <w:rPr>
          <w:bCs/>
          <w:iCs/>
          <w:sz w:val="24"/>
          <w:szCs w:val="24"/>
        </w:rPr>
        <w:tab/>
      </w:r>
      <w:r>
        <w:rPr>
          <w:bCs/>
          <w:iCs/>
          <w:sz w:val="24"/>
          <w:szCs w:val="24"/>
        </w:rPr>
        <w:tab/>
      </w:r>
      <w:r>
        <w:rPr>
          <w:bCs/>
          <w:iCs/>
          <w:sz w:val="24"/>
          <w:szCs w:val="24"/>
        </w:rPr>
        <w:t xml:space="preserve">c) </w:t>
      </w:r>
      <w:r>
        <w:rPr>
          <w:bCs/>
          <w:iCs/>
          <w:sz w:val="24"/>
          <w:szCs w:val="24"/>
        </w:rPr>
        <w:tab/>
      </w:r>
      <w:r>
        <w:rPr>
          <w:bCs/>
          <w:iCs/>
          <w:sz w:val="24"/>
          <w:szCs w:val="24"/>
        </w:rPr>
        <w:t>Deverá ser apresentado curriculum da equipe técnica pertencente ao quadro técnico da licitante Conforme CERTIDÃO PESSOAL JURÍDICA junto ao Conselho Regional de Engenharia e Agronomia — CREA e Conselho de Arquitetura e Urbanismo — CAU, onde, no mínimo um membro da equipe técnica acima elencados deverão ter capacitação comprovada através da plataforma BIM (Building Information Modelling).</w:t>
      </w:r>
    </w:p>
    <w:p>
      <w:pPr>
        <w:autoSpaceDE w:val="0"/>
        <w:autoSpaceDN w:val="0"/>
        <w:adjustRightInd w:val="0"/>
        <w:spacing w:after="0" w:line="360" w:lineRule="auto"/>
        <w:jc w:val="both"/>
        <w:rPr>
          <w:bCs/>
          <w:iCs/>
          <w:sz w:val="24"/>
          <w:szCs w:val="24"/>
        </w:rPr>
      </w:pPr>
      <w:r>
        <w:rPr>
          <w:bCs/>
          <w:iCs/>
          <w:sz w:val="24"/>
          <w:szCs w:val="24"/>
        </w:rPr>
        <w:tab/>
      </w:r>
      <w:r>
        <w:rPr>
          <w:bCs/>
          <w:iCs/>
          <w:sz w:val="24"/>
          <w:szCs w:val="24"/>
        </w:rPr>
        <w:tab/>
      </w:r>
      <w:r>
        <w:rPr>
          <w:bCs/>
          <w:iCs/>
          <w:sz w:val="24"/>
          <w:szCs w:val="24"/>
        </w:rPr>
        <w:tab/>
      </w:r>
      <w:r>
        <w:rPr>
          <w:bCs/>
          <w:iCs/>
          <w:sz w:val="24"/>
          <w:szCs w:val="24"/>
        </w:rPr>
        <w:t>d)</w:t>
      </w:r>
      <w:r>
        <w:rPr>
          <w:bCs/>
          <w:iCs/>
          <w:sz w:val="24"/>
          <w:szCs w:val="24"/>
        </w:rPr>
        <w:tab/>
      </w:r>
      <w:r>
        <w:rPr>
          <w:sz w:val="24"/>
          <w:szCs w:val="24"/>
        </w:rPr>
        <w:t>Os responsáveis técnicos e/ou membros da equipe técnica acima elencados deverão pertencer ao quadro permanente da empresa licitante, na data prevista para entrega da proposta, entendendo-se como tal, para fins deste certame, o sécio que comprove seu vinculo por intermédio de contrato social/estatuto social; 0 administrador ou o diretor; o empregado devidamente registrado em Carteira de Trabalho e Previdência Social; e 0 prestador de serviços com contrato escrito firmado com o licitante, com reconhecimento de firma de todas as partes.</w:t>
      </w:r>
    </w:p>
    <w:p>
      <w:pPr>
        <w:autoSpaceDE w:val="0"/>
        <w:autoSpaceDN w:val="0"/>
        <w:adjustRightInd w:val="0"/>
        <w:spacing w:after="0" w:line="360" w:lineRule="auto"/>
        <w:jc w:val="both"/>
        <w:rPr>
          <w:sz w:val="24"/>
          <w:szCs w:val="24"/>
        </w:rPr>
      </w:pPr>
      <w:r>
        <w:rPr>
          <w:sz w:val="24"/>
          <w:szCs w:val="24"/>
        </w:rPr>
        <w:tab/>
      </w:r>
      <w:r>
        <w:rPr>
          <w:sz w:val="24"/>
          <w:szCs w:val="24"/>
        </w:rPr>
        <w:tab/>
      </w:r>
      <w:r>
        <w:rPr>
          <w:sz w:val="24"/>
          <w:szCs w:val="24"/>
        </w:rPr>
        <w:tab/>
      </w:r>
      <w:r>
        <w:rPr>
          <w:sz w:val="24"/>
          <w:szCs w:val="24"/>
        </w:rPr>
        <w:t xml:space="preserve">e) </w:t>
      </w:r>
      <w:r>
        <w:rPr>
          <w:sz w:val="24"/>
          <w:szCs w:val="24"/>
        </w:rPr>
        <w:tab/>
      </w:r>
      <w:r>
        <w:rPr>
          <w:sz w:val="24"/>
          <w:szCs w:val="24"/>
        </w:rPr>
        <w:t>A empresa especializada em assessoria e consultoria em arquitetura e engenharia, deverá apresentar atestado técnico que demonstre a execução de servigos de projetos executivos, contendo no mesmo projeto as especialidades em acordo com a plataforma BIM (Building Information Modelling).</w:t>
      </w:r>
    </w:p>
    <w:p>
      <w:pPr>
        <w:pStyle w:val="46"/>
        <w:numPr>
          <w:ilvl w:val="0"/>
          <w:numId w:val="2"/>
        </w:numPr>
        <w:tabs>
          <w:tab w:val="left" w:pos="1418"/>
          <w:tab w:val="clear" w:pos="2137"/>
        </w:tabs>
        <w:autoSpaceDE w:val="0"/>
        <w:autoSpaceDN w:val="0"/>
        <w:adjustRightInd w:val="0"/>
        <w:spacing w:after="0" w:line="240" w:lineRule="auto"/>
        <w:ind w:left="0" w:firstLine="2127"/>
        <w:jc w:val="both"/>
        <w:rPr>
          <w:rFonts w:ascii="Times New Roman" w:hAnsi="Times New Roman" w:eastAsiaTheme="minorHAnsi"/>
          <w:sz w:val="24"/>
          <w:szCs w:val="24"/>
        </w:rPr>
      </w:pPr>
      <w:r>
        <w:rPr>
          <w:rFonts w:ascii="Times New Roman" w:hAnsi="Times New Roman" w:eastAsiaTheme="minorHAnsi"/>
          <w:sz w:val="24"/>
          <w:szCs w:val="24"/>
        </w:rPr>
        <w:t>Comprovação da licitante, de que possui um quadro multidisciplinar composto por profissionais de nível superior devidamente registrados, pelas entidades competentes, para assumirem a coordenação técnica e/ou responsabilidade técnica dos serviços dentro das áreas abaixo especificadas:</w:t>
      </w:r>
    </w:p>
    <w:p>
      <w:pPr>
        <w:pStyle w:val="46"/>
        <w:autoSpaceDE w:val="0"/>
        <w:autoSpaceDN w:val="0"/>
        <w:adjustRightInd w:val="0"/>
        <w:spacing w:after="0" w:line="240" w:lineRule="auto"/>
        <w:ind w:left="2127"/>
        <w:jc w:val="both"/>
        <w:rPr>
          <w:rFonts w:ascii="Times New Roman" w:hAnsi="Times New Roman" w:eastAsiaTheme="minorHAnsi"/>
          <w:sz w:val="24"/>
          <w:szCs w:val="24"/>
        </w:rPr>
      </w:pPr>
    </w:p>
    <w:tbl>
      <w:tblPr>
        <w:tblStyle w:val="12"/>
        <w:tblW w:w="86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85"/>
        <w:gridCol w:w="4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85" w:type="dxa"/>
            <w:tcBorders>
              <w:top w:val="single" w:color="auto" w:sz="4" w:space="0"/>
              <w:left w:val="single" w:color="auto" w:sz="4" w:space="0"/>
              <w:bottom w:val="single" w:color="auto" w:sz="4" w:space="0"/>
              <w:right w:val="single" w:color="auto" w:sz="4" w:space="0"/>
            </w:tcBorders>
          </w:tcPr>
          <w:p>
            <w:pPr>
              <w:tabs>
                <w:tab w:val="left" w:pos="284"/>
                <w:tab w:val="left" w:pos="709"/>
              </w:tabs>
              <w:spacing w:line="360" w:lineRule="auto"/>
              <w:jc w:val="center"/>
              <w:rPr>
                <w:rFonts w:eastAsia="SimSun"/>
                <w:b/>
                <w:sz w:val="24"/>
                <w:szCs w:val="24"/>
              </w:rPr>
            </w:pPr>
            <w:r>
              <w:rPr>
                <w:rFonts w:eastAsia="SimSun"/>
                <w:b/>
                <w:sz w:val="24"/>
                <w:szCs w:val="24"/>
              </w:rPr>
              <w:t>PROFISSIONAL</w:t>
            </w:r>
          </w:p>
        </w:tc>
        <w:tc>
          <w:tcPr>
            <w:tcW w:w="4961" w:type="dxa"/>
            <w:tcBorders>
              <w:top w:val="single" w:color="auto" w:sz="4" w:space="0"/>
              <w:left w:val="single" w:color="auto" w:sz="4" w:space="0"/>
              <w:bottom w:val="single" w:color="auto" w:sz="4" w:space="0"/>
              <w:right w:val="single" w:color="auto" w:sz="4" w:space="0"/>
            </w:tcBorders>
          </w:tcPr>
          <w:p>
            <w:pPr>
              <w:tabs>
                <w:tab w:val="left" w:pos="284"/>
                <w:tab w:val="left" w:pos="709"/>
              </w:tabs>
              <w:spacing w:line="360" w:lineRule="auto"/>
              <w:jc w:val="center"/>
              <w:rPr>
                <w:rFonts w:eastAsia="SimSun"/>
                <w:b/>
                <w:sz w:val="24"/>
                <w:szCs w:val="24"/>
              </w:rPr>
            </w:pPr>
            <w:r>
              <w:rPr>
                <w:rFonts w:eastAsia="SimSun"/>
                <w:b/>
                <w:sz w:val="24"/>
                <w:szCs w:val="24"/>
              </w:rPr>
              <w:t>ÁREA DE ATUAÇÃO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685"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 xml:space="preserve">ARQUITETO </w:t>
            </w:r>
          </w:p>
        </w:tc>
        <w:tc>
          <w:tcPr>
            <w:tcW w:w="4961"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PROJETO ARQUITETÔNICO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685"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ENGENHEIRO CIVIL</w:t>
            </w:r>
          </w:p>
        </w:tc>
        <w:tc>
          <w:tcPr>
            <w:tcW w:w="4961"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PROJETO ESTRUTURAIS DE FUNDAÇÕES, SUPERESTRUTURA E ESTRUTURA METÁLICA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685"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ENGENHEIRO CIVIL</w:t>
            </w:r>
          </w:p>
        </w:tc>
        <w:tc>
          <w:tcPr>
            <w:tcW w:w="4961"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PROJETO HIDRÁULICO/ PROJETO ELÉTRICO EM BAIXA TENSÃO / ILUMINAÇÃO PUBLICA / PSCIP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685"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ENGENHEIRO/ARQUITETO</w:t>
            </w:r>
          </w:p>
        </w:tc>
        <w:tc>
          <w:tcPr>
            <w:tcW w:w="4961"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ORÇAMENTO E QUANTIFICAÇÃO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685"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ENGENHEIRO CIVIL</w:t>
            </w:r>
          </w:p>
        </w:tc>
        <w:tc>
          <w:tcPr>
            <w:tcW w:w="4961" w:type="dxa"/>
            <w:tcBorders>
              <w:top w:val="single" w:color="auto" w:sz="4" w:space="0"/>
              <w:left w:val="single" w:color="auto" w:sz="4" w:space="0"/>
              <w:bottom w:val="single" w:color="auto" w:sz="4" w:space="0"/>
              <w:right w:val="single" w:color="auto" w:sz="4" w:space="0"/>
            </w:tcBorders>
            <w:vAlign w:val="center"/>
          </w:tcPr>
          <w:p>
            <w:pPr>
              <w:tabs>
                <w:tab w:val="left" w:pos="284"/>
                <w:tab w:val="left" w:pos="709"/>
              </w:tabs>
              <w:spacing w:line="360" w:lineRule="auto"/>
              <w:jc w:val="center"/>
              <w:rPr>
                <w:rFonts w:eastAsia="SimSun"/>
                <w:sz w:val="24"/>
                <w:szCs w:val="24"/>
              </w:rPr>
            </w:pPr>
            <w:r>
              <w:rPr>
                <w:rFonts w:eastAsia="SimSun"/>
                <w:sz w:val="24"/>
                <w:szCs w:val="24"/>
              </w:rPr>
              <w:t xml:space="preserve">INFRAESTRUTURA </w:t>
            </w:r>
          </w:p>
        </w:tc>
      </w:tr>
    </w:tbl>
    <w:p>
      <w:pPr>
        <w:pStyle w:val="46"/>
        <w:numPr>
          <w:ilvl w:val="0"/>
          <w:numId w:val="2"/>
        </w:numPr>
        <w:tabs>
          <w:tab w:val="clear" w:pos="2137"/>
        </w:tabs>
        <w:autoSpaceDE w:val="0"/>
        <w:autoSpaceDN w:val="0"/>
        <w:adjustRightInd w:val="0"/>
        <w:spacing w:after="0" w:line="360" w:lineRule="auto"/>
        <w:ind w:left="0" w:firstLine="2127"/>
        <w:jc w:val="both"/>
        <w:rPr>
          <w:rFonts w:ascii="Times New Roman" w:hAnsi="Times New Roman" w:eastAsia="Times New Roman"/>
          <w:color w:val="000000"/>
          <w:sz w:val="24"/>
          <w:szCs w:val="24"/>
          <w:lang w:eastAsia="pt-BR"/>
        </w:rPr>
      </w:pPr>
      <w:r>
        <w:rPr>
          <w:rFonts w:ascii="Times New Roman" w:hAnsi="Times New Roman" w:eastAsia="Times New Roman"/>
          <w:color w:val="000000"/>
          <w:sz w:val="24"/>
          <w:szCs w:val="24"/>
          <w:lang w:eastAsia="pt-BR"/>
        </w:rPr>
        <w:t xml:space="preserve">A licitante devera Comprovar sua capacidade técnico-operacional através de Atestado(s) fornecido(s) por pessoa jurídica de direito publico ou privado acompanhado da sua respectiva CAT (Certidão de Acervo Técnico) com emissão superior a 30 dias, Comprovando que a licitante (pessoa jurídica) e seu responsável técnico já executaram serviços de características semelhantes ao objeto da licitação, nas quantidades mínimas relacionadas no quadro abaixo, tidas como de maior relevância: </w:t>
      </w:r>
    </w:p>
    <w:p>
      <w:pPr>
        <w:pStyle w:val="46"/>
        <w:autoSpaceDE w:val="0"/>
        <w:autoSpaceDN w:val="0"/>
        <w:adjustRightInd w:val="0"/>
        <w:spacing w:after="0" w:line="240" w:lineRule="auto"/>
        <w:ind w:left="2127"/>
        <w:jc w:val="both"/>
        <w:rPr>
          <w:rFonts w:ascii="Times New Roman" w:hAnsi="Times New Roman" w:eastAsia="Times New Roman"/>
          <w:color w:val="000000"/>
          <w:sz w:val="24"/>
          <w:szCs w:val="24"/>
          <w:lang w:eastAsia="pt-BR"/>
        </w:rPr>
      </w:pPr>
    </w:p>
    <w:p>
      <w:pPr>
        <w:pStyle w:val="46"/>
        <w:numPr>
          <w:ilvl w:val="0"/>
          <w:numId w:val="2"/>
        </w:numPr>
        <w:tabs>
          <w:tab w:val="clear" w:pos="2137"/>
        </w:tabs>
        <w:autoSpaceDE w:val="0"/>
        <w:autoSpaceDN w:val="0"/>
        <w:adjustRightInd w:val="0"/>
        <w:spacing w:after="0" w:line="240" w:lineRule="auto"/>
        <w:ind w:left="0" w:firstLine="2127"/>
        <w:jc w:val="both"/>
        <w:rPr>
          <w:rFonts w:ascii="Times New Roman" w:hAnsi="Times New Roman" w:eastAsia="Times New Roman"/>
          <w:color w:val="000000"/>
          <w:sz w:val="24"/>
          <w:szCs w:val="24"/>
          <w:lang w:eastAsia="pt-BR"/>
        </w:rPr>
      </w:pPr>
      <w:r>
        <w:rPr>
          <w:rFonts w:ascii="Times New Roman" w:hAnsi="Times New Roman" w:eastAsia="Times New Roman"/>
          <w:color w:val="000000"/>
          <w:sz w:val="24"/>
          <w:szCs w:val="24"/>
          <w:lang w:eastAsia="pt-BR"/>
        </w:rPr>
        <w:t>Entende-se como parcelas de maior relevância do objeto da licitação:</w:t>
      </w:r>
    </w:p>
    <w:p>
      <w:pPr>
        <w:pStyle w:val="46"/>
        <w:autoSpaceDE w:val="0"/>
        <w:autoSpaceDN w:val="0"/>
        <w:adjustRightInd w:val="0"/>
        <w:spacing w:after="0" w:line="360" w:lineRule="auto"/>
        <w:ind w:left="0" w:firstLine="2127"/>
        <w:rPr>
          <w:rFonts w:ascii="Times New Roman" w:hAnsi="Times New Roman" w:eastAsia="Times New Roman"/>
          <w:color w:val="000000"/>
          <w:sz w:val="24"/>
          <w:szCs w:val="24"/>
          <w:lang w:eastAsia="pt-BR"/>
        </w:rPr>
      </w:pPr>
      <w:r>
        <w:rPr>
          <w:rFonts w:ascii="Times New Roman" w:hAnsi="Times New Roman" w:eastAsia="Times New Roman"/>
          <w:color w:val="000000"/>
          <w:sz w:val="24"/>
          <w:szCs w:val="24"/>
          <w:lang w:eastAsia="pt-BR"/>
        </w:rPr>
        <w:t>I. ASSESSORIA / FISCALIZAÇÃO / CONSULTORIA / SUPERVISÃO / ASSISTÊNCIA EM PROJETOS CIVIL E INFRAESTRUTURA;</w:t>
      </w:r>
    </w:p>
    <w:p>
      <w:pPr>
        <w:pStyle w:val="46"/>
        <w:autoSpaceDE w:val="0"/>
        <w:autoSpaceDN w:val="0"/>
        <w:adjustRightInd w:val="0"/>
        <w:spacing w:after="0" w:line="360" w:lineRule="auto"/>
        <w:ind w:left="0" w:firstLine="2127"/>
        <w:rPr>
          <w:rFonts w:ascii="Times New Roman" w:hAnsi="Times New Roman" w:eastAsia="Times New Roman"/>
          <w:color w:val="000000"/>
          <w:sz w:val="24"/>
          <w:szCs w:val="24"/>
          <w:lang w:eastAsia="pt-BR"/>
        </w:rPr>
      </w:pPr>
      <w:r>
        <w:rPr>
          <w:rFonts w:ascii="Times New Roman" w:hAnsi="Times New Roman" w:eastAsia="Times New Roman"/>
          <w:color w:val="000000"/>
          <w:sz w:val="24"/>
          <w:szCs w:val="24"/>
          <w:lang w:eastAsia="pt-BR"/>
        </w:rPr>
        <w:t>II. PROJETO / ORÇAMENTO / FISCALIZAÇÃO em obras similares a apresentada abaixo como demanda de projetos para a presente licitação:</w:t>
      </w:r>
    </w:p>
    <w:tbl>
      <w:tblPr>
        <w:tblStyle w:val="3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621"/>
        <w:gridCol w:w="567"/>
        <w:gridCol w:w="12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473" w:type="dxa"/>
            <w:gridSpan w:val="3"/>
          </w:tcPr>
          <w:p>
            <w:pPr>
              <w:pStyle w:val="46"/>
              <w:autoSpaceDE w:val="0"/>
              <w:autoSpaceDN w:val="0"/>
              <w:adjustRightInd w:val="0"/>
              <w:spacing w:after="0" w:line="360" w:lineRule="auto"/>
              <w:ind w:left="0"/>
              <w:rPr>
                <w:rFonts w:ascii="Times New Roman" w:hAnsi="Times New Roman" w:eastAsia="Times New Roman"/>
                <w:b/>
                <w:color w:val="000000"/>
                <w:sz w:val="24"/>
                <w:szCs w:val="24"/>
                <w:lang w:eastAsia="pt-BR"/>
              </w:rPr>
            </w:pPr>
            <w:r>
              <w:rPr>
                <w:rFonts w:ascii="Times New Roman" w:hAnsi="Times New Roman" w:eastAsia="Times New Roman"/>
                <w:b/>
                <w:color w:val="000000"/>
                <w:sz w:val="24"/>
                <w:szCs w:val="24"/>
                <w:lang w:eastAsia="pt-BR"/>
              </w:rPr>
              <w:t>PROJETOS: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1"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PROJETO EXECUTIVO ARQUITETURA/ESTRUTURA/INSTALAÇÕES EM GERAL - EDIFICAÇÃO</w:t>
            </w:r>
          </w:p>
        </w:tc>
        <w:tc>
          <w:tcPr>
            <w:tcW w:w="567"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M²</w:t>
            </w:r>
          </w:p>
        </w:tc>
        <w:tc>
          <w:tcPr>
            <w:tcW w:w="1285"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5.000,75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1"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 xml:space="preserve">ELABORAÇÃO DE PROJETO GEOMÉTRICO, TERRAPLANAGEM, PAVIMENTAÇÃO, DRENAGEM, SINALIZAÇÃO VIÁRIA E ACESSIBILIDADE. </w:t>
            </w:r>
          </w:p>
        </w:tc>
        <w:tc>
          <w:tcPr>
            <w:tcW w:w="567"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M²</w:t>
            </w:r>
          </w:p>
        </w:tc>
        <w:tc>
          <w:tcPr>
            <w:tcW w:w="1285"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20.000,00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1"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 xml:space="preserve">ELABORAÇÃO PROJETO DE RESTAURAÇÃO FUNCIONAL DO PAVIMENTO, INCLUINDO ESTUDOS TOPOGRÁFICOS E GEOTÉCNICOS, PROJETOS DRENAGEM, SINALIZAÇÃO VIÁRIA E ACESSIBILIDADE. </w:t>
            </w:r>
          </w:p>
        </w:tc>
        <w:tc>
          <w:tcPr>
            <w:tcW w:w="567"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M²</w:t>
            </w:r>
          </w:p>
        </w:tc>
        <w:tc>
          <w:tcPr>
            <w:tcW w:w="1285" w:type="dxa"/>
          </w:tcPr>
          <w:p>
            <w:pPr>
              <w:pStyle w:val="46"/>
              <w:autoSpaceDE w:val="0"/>
              <w:autoSpaceDN w:val="0"/>
              <w:adjustRightInd w:val="0"/>
              <w:spacing w:after="0" w:line="360" w:lineRule="auto"/>
              <w:ind w:left="0"/>
              <w:rPr>
                <w:rFonts w:ascii="Times New Roman" w:hAnsi="Times New Roman" w:eastAsia="Times New Roman"/>
                <w:color w:val="000000"/>
                <w:sz w:val="16"/>
                <w:szCs w:val="16"/>
                <w:lang w:eastAsia="pt-BR"/>
              </w:rPr>
            </w:pPr>
            <w:r>
              <w:rPr>
                <w:rFonts w:ascii="Times New Roman" w:hAnsi="Times New Roman" w:eastAsia="Times New Roman"/>
                <w:color w:val="000000"/>
                <w:sz w:val="16"/>
                <w:szCs w:val="16"/>
                <w:lang w:eastAsia="pt-BR"/>
              </w:rPr>
              <w:t>77.793,00</w:t>
            </w:r>
          </w:p>
        </w:tc>
      </w:tr>
    </w:tbl>
    <w:p>
      <w:pPr>
        <w:pStyle w:val="46"/>
        <w:autoSpaceDE w:val="0"/>
        <w:autoSpaceDN w:val="0"/>
        <w:adjustRightInd w:val="0"/>
        <w:spacing w:after="0" w:line="360" w:lineRule="auto"/>
        <w:ind w:left="0"/>
        <w:rPr>
          <w:rFonts w:ascii="Times New Roman" w:hAnsi="Times New Roman" w:eastAsia="Times New Roman"/>
          <w:color w:val="000000"/>
          <w:sz w:val="24"/>
          <w:szCs w:val="24"/>
          <w:lang w:eastAsia="pt-BR"/>
        </w:rPr>
      </w:pPr>
    </w:p>
    <w:p>
      <w:pPr>
        <w:pStyle w:val="46"/>
        <w:autoSpaceDE w:val="0"/>
        <w:autoSpaceDN w:val="0"/>
        <w:adjustRightInd w:val="0"/>
        <w:spacing w:after="0" w:line="360" w:lineRule="auto"/>
        <w:ind w:left="0" w:firstLine="2127"/>
        <w:jc w:val="both"/>
        <w:rPr>
          <w:rFonts w:ascii="Times New Roman" w:hAnsi="Times New Roman" w:eastAsia="Times New Roman"/>
          <w:color w:val="000000"/>
          <w:sz w:val="24"/>
          <w:szCs w:val="24"/>
          <w:lang w:eastAsia="pt-BR"/>
        </w:rPr>
      </w:pPr>
      <w:r>
        <w:rPr>
          <w:rFonts w:ascii="Times New Roman" w:hAnsi="Times New Roman" w:eastAsia="Times New Roman"/>
          <w:color w:val="000000"/>
          <w:sz w:val="24"/>
          <w:szCs w:val="24"/>
          <w:lang w:eastAsia="pt-BR"/>
        </w:rPr>
        <w:t>i) Será admitida, para fins de comprovação de quantitativo mínimo de 50% do serviço relacionados.</w:t>
      </w:r>
    </w:p>
    <w:p>
      <w:pPr>
        <w:autoSpaceDE w:val="0"/>
        <w:autoSpaceDN w:val="0"/>
        <w:adjustRightInd w:val="0"/>
        <w:spacing w:after="0" w:line="360" w:lineRule="auto"/>
        <w:ind w:firstLine="2127"/>
        <w:jc w:val="both"/>
        <w:rPr>
          <w:rFonts w:eastAsia="Times New Roman"/>
          <w:color w:val="000000"/>
          <w:sz w:val="24"/>
          <w:szCs w:val="24"/>
          <w:lang w:eastAsia="pt-BR"/>
        </w:rPr>
      </w:pPr>
      <w:r>
        <w:rPr>
          <w:rFonts w:eastAsia="Times New Roman"/>
          <w:color w:val="000000"/>
          <w:sz w:val="24"/>
          <w:szCs w:val="24"/>
          <w:lang w:eastAsia="pt-BR"/>
        </w:rPr>
        <w:t>j) Devera ser apresentado certificado de capacitarão na Plataforma + Brasil para fins de comprovação da capacidade técnica em gestão de convênios.</w:t>
      </w:r>
    </w:p>
    <w:p>
      <w:pPr>
        <w:pStyle w:val="47"/>
        <w:jc w:val="both"/>
        <w:rPr>
          <w:rFonts w:ascii="Times New Roman" w:hAnsi="Times New Roman" w:cs="Times New Roman"/>
          <w:color w:val="984807" w:themeColor="accent6" w:themeShade="80"/>
        </w:rPr>
      </w:pPr>
    </w:p>
    <w:p>
      <w:pPr>
        <w:pStyle w:val="47"/>
        <w:jc w:val="both"/>
        <w:rPr>
          <w:rFonts w:ascii="Times New Roman" w:hAnsi="Times New Roman" w:cs="Times New Roman"/>
        </w:rPr>
      </w:pPr>
      <w:r>
        <w:rPr>
          <w:rFonts w:ascii="Times New Roman" w:hAnsi="Times New Roman" w:cs="Times New Roman"/>
        </w:rPr>
        <w:t xml:space="preserve">6.1.2.1 Certidão/Registro do Profissional pessoa física, que efetivamente atuará como Responsável Técnico da obra, no Conselho Regional de Engenharia, Arquitetura – CREA/CAU, caso o profissional indicado não esteja relacionado como responsável técnico da empresa perante os conselhos de CREA/CAU, a vinculação poderá ser comprovada com a apresentação de quaisquer </w:t>
      </w:r>
      <w:r>
        <w:rPr>
          <w:rFonts w:ascii="Times New Roman" w:hAnsi="Times New Roman" w:cs="Times New Roman"/>
          <w:b/>
          <w:u w:val="single"/>
        </w:rPr>
        <w:t>um</w:t>
      </w:r>
      <w:r>
        <w:rPr>
          <w:rFonts w:ascii="Times New Roman" w:hAnsi="Times New Roman" w:cs="Times New Roman"/>
        </w:rPr>
        <w:t xml:space="preserve"> dos documentos apontados, deverá constar a função compatível com atividade  de será desenvolvida:</w:t>
      </w:r>
    </w:p>
    <w:p>
      <w:pPr>
        <w:jc w:val="both"/>
        <w:rPr>
          <w:iCs/>
          <w:color w:val="000000"/>
          <w:sz w:val="24"/>
          <w:szCs w:val="24"/>
        </w:rPr>
      </w:pP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Previdência Social, </w:t>
      </w:r>
    </w:p>
    <w:p>
      <w:pPr>
        <w:pStyle w:val="46"/>
        <w:numPr>
          <w:ilvl w:val="0"/>
          <w:numId w:val="6"/>
        </w:numPr>
        <w:tabs>
          <w:tab w:val="left" w:pos="1134"/>
        </w:tabs>
        <w:ind w:hanging="862"/>
        <w:rPr>
          <w:rFonts w:ascii="Times New Roman" w:hAnsi="Times New Roman"/>
          <w:iCs/>
          <w:sz w:val="24"/>
          <w:szCs w:val="24"/>
        </w:rPr>
      </w:pPr>
      <w:r>
        <w:rPr>
          <w:rFonts w:ascii="Times New Roman" w:hAnsi="Times New Roman"/>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sz w:val="24"/>
          <w:szCs w:val="24"/>
        </w:rPr>
        <w:t>Relação dos Trabalhadores da GFIP, somente a página aonde conste o nome do profissional.</w:t>
      </w:r>
    </w:p>
    <w:p>
      <w:pPr>
        <w:jc w:val="both"/>
        <w:rPr>
          <w:iCs/>
          <w:color w:val="000000"/>
          <w:sz w:val="24"/>
          <w:szCs w:val="24"/>
        </w:rPr>
      </w:pPr>
    </w:p>
    <w:p>
      <w:pPr>
        <w:numPr>
          <w:ilvl w:val="0"/>
          <w:numId w:val="7"/>
        </w:numPr>
        <w:shd w:val="clear" w:color="auto" w:fill="F2F2F2"/>
        <w:tabs>
          <w:tab w:val="left" w:pos="-4111"/>
          <w:tab w:val="clear" w:pos="0"/>
        </w:tabs>
        <w:suppressAutoHyphens/>
        <w:overflowPunct w:val="0"/>
        <w:autoSpaceDE w:val="0"/>
        <w:spacing w:after="0" w:line="240" w:lineRule="auto"/>
        <w:ind w:left="1134" w:hanging="283"/>
        <w:jc w:val="both"/>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com a descrição das atividades desenvolvidas ou as que serão desenvolvidas pelo profissional.</w:t>
      </w:r>
      <w:r>
        <w:rPr>
          <w:rFonts w:eastAsia="Calibri"/>
          <w:b/>
          <w:iCs/>
          <w:sz w:val="24"/>
          <w:szCs w:val="24"/>
          <w:u w:val="single"/>
        </w:rPr>
        <w:t xml:space="preserve"> Em caso de contrato com obrigação futura condicionada ao êxito no procedimento licitatório, deverá constar no contrato o reconhecimento  firma de ambas as partes</w:t>
      </w:r>
      <w:r>
        <w:rPr>
          <w:rFonts w:eastAsia="Calibri"/>
          <w:iCs/>
          <w:sz w:val="24"/>
          <w:szCs w:val="24"/>
        </w:rPr>
        <w:t xml:space="preserve">. </w:t>
      </w:r>
    </w:p>
    <w:p>
      <w:pPr>
        <w:suppressAutoHyphens/>
        <w:contextualSpacing/>
        <w:jc w:val="both"/>
        <w:rPr>
          <w:rFonts w:eastAsia="Calibri"/>
          <w:iCs/>
          <w:sz w:val="24"/>
          <w:szCs w:val="24"/>
        </w:rPr>
      </w:pPr>
    </w:p>
    <w:p>
      <w:pPr>
        <w:pStyle w:val="47"/>
        <w:shd w:val="clear" w:color="auto" w:fill="F2F2F2"/>
        <w:jc w:val="both"/>
        <w:rPr>
          <w:rFonts w:ascii="Times New Roman" w:hAnsi="Times New Roman" w:cs="Times New Roman"/>
          <w:spacing w:val="-3"/>
        </w:rPr>
      </w:pPr>
      <w:r>
        <w:rPr>
          <w:rFonts w:ascii="Times New Roman" w:hAnsi="Times New Roman" w:cs="Times New Roman"/>
          <w:b/>
        </w:rPr>
        <w:t>6.1.2.1.2</w:t>
      </w:r>
      <w:r>
        <w:rPr>
          <w:rFonts w:ascii="Times New Roman" w:hAnsi="Times New Roman" w:cs="Times New Roman"/>
        </w:rPr>
        <w:t xml:space="preserve"> Atestado fornecido por Pessoa Jurídica de Direito Público ou Privado, com a(s) planilha(s) de serviço(s) devidamente registrado no CREA/CAU, acompanhado da Certidão de Acervo Técnico (CAT) comprovando que o </w:t>
      </w:r>
      <w:r>
        <w:rPr>
          <w:rFonts w:ascii="Times New Roman" w:hAnsi="Times New Roman" w:cs="Times New Roman"/>
          <w:b/>
          <w:u w:val="single"/>
        </w:rPr>
        <w:t>a pessoa indicada</w:t>
      </w:r>
      <w:r>
        <w:rPr>
          <w:rFonts w:ascii="Times New Roman" w:hAnsi="Times New Roman" w:cs="Times New Roman"/>
        </w:rPr>
        <w:t xml:space="preserve"> para ser responsável técnico (s), já executou obras ou serviços compatíveis com os itens, relativos à parcela de maior relevância do objeto da licitação;</w:t>
      </w:r>
    </w:p>
    <w:p>
      <w:pPr>
        <w:pStyle w:val="47"/>
        <w:shd w:val="clear" w:color="auto" w:fill="F2F2F2"/>
        <w:ind w:left="851" w:hanging="851"/>
        <w:jc w:val="both"/>
        <w:rPr>
          <w:rFonts w:ascii="Times New Roman" w:hAnsi="Times New Roman" w:cs="Times New Roman"/>
          <w:spacing w:val="-3"/>
        </w:rPr>
      </w:pPr>
    </w:p>
    <w:p>
      <w:pPr>
        <w:overflowPunct w:val="0"/>
        <w:autoSpaceDE w:val="0"/>
        <w:autoSpaceDN w:val="0"/>
        <w:adjustRightInd w:val="0"/>
        <w:spacing w:after="0" w:line="240" w:lineRule="auto"/>
        <w:ind w:left="720"/>
        <w:jc w:val="both"/>
        <w:textAlignment w:val="baseline"/>
        <w:rPr>
          <w:rFonts w:eastAsia="Times New Roman"/>
          <w:b/>
          <w:color w:val="000000"/>
          <w:sz w:val="24"/>
          <w:szCs w:val="24"/>
          <w:lang w:eastAsia="pt-BR"/>
        </w:rPr>
      </w:pPr>
    </w:p>
    <w:p>
      <w:pPr>
        <w:ind w:right="-1"/>
        <w:jc w:val="both"/>
        <w:rPr>
          <w:iCs/>
          <w:sz w:val="24"/>
          <w:szCs w:val="24"/>
        </w:rPr>
      </w:pPr>
      <w:r>
        <w:rPr>
          <w:rFonts w:eastAsia="Times New Roman"/>
          <w:b/>
          <w:color w:val="000000"/>
          <w:sz w:val="24"/>
          <w:szCs w:val="24"/>
          <w:lang w:eastAsia="pt-BR"/>
        </w:rPr>
        <w:t>6.1.2.1.3</w:t>
      </w:r>
      <w:r>
        <w:rPr>
          <w:iCs/>
          <w:sz w:val="24"/>
          <w:szCs w:val="24"/>
        </w:rPr>
        <w:t xml:space="preserve"> Somente será (ão) aceito (s) atestado (s) fornecido por pessoas jurídicas de direito público ou privado, devidamente certificados pelo CREA/CAU da região onde foram executados os serviços;</w:t>
      </w:r>
    </w:p>
    <w:p>
      <w:pPr>
        <w:ind w:right="-1"/>
        <w:jc w:val="both"/>
        <w:rPr>
          <w:iCs/>
          <w:sz w:val="24"/>
          <w:szCs w:val="24"/>
        </w:rPr>
      </w:pPr>
      <w:r>
        <w:rPr>
          <w:b/>
          <w:iCs/>
          <w:sz w:val="24"/>
          <w:szCs w:val="24"/>
        </w:rPr>
        <w:t>6.1.2.1.4</w:t>
      </w:r>
      <w:r>
        <w:rPr>
          <w:iCs/>
          <w:sz w:val="24"/>
          <w:szCs w:val="24"/>
        </w:rPr>
        <w:t xml:space="preserve"> Atestados que tenham como responsável técnico por supervisão, coordenação, fiscalização, preposto, </w:t>
      </w:r>
      <w:r>
        <w:rPr>
          <w:b/>
          <w:iCs/>
          <w:sz w:val="24"/>
          <w:szCs w:val="24"/>
          <w:u w:val="single"/>
        </w:rPr>
        <w:t>não</w:t>
      </w:r>
      <w:r>
        <w:rPr>
          <w:iCs/>
          <w:sz w:val="24"/>
          <w:szCs w:val="24"/>
        </w:rPr>
        <w:t xml:space="preserve"> serão considerados no cumprimento da exigência deste subitem </w:t>
      </w:r>
      <w:r>
        <w:rPr>
          <w:b/>
          <w:iCs/>
          <w:sz w:val="24"/>
          <w:szCs w:val="24"/>
        </w:rPr>
        <w:t>6.1.2.1.2</w:t>
      </w:r>
      <w:r>
        <w:rPr>
          <w:iCs/>
          <w:sz w:val="24"/>
          <w:szCs w:val="24"/>
        </w:rPr>
        <w:t>.</w:t>
      </w:r>
    </w:p>
    <w:p>
      <w:pPr>
        <w:ind w:right="-1"/>
        <w:jc w:val="both"/>
        <w:rPr>
          <w:iCs/>
          <w:sz w:val="24"/>
          <w:szCs w:val="24"/>
        </w:rPr>
      </w:pPr>
      <w:r>
        <w:rPr>
          <w:b/>
          <w:iCs/>
          <w:sz w:val="24"/>
          <w:szCs w:val="24"/>
        </w:rPr>
        <w:t>6.1.2.1.5</w:t>
      </w:r>
      <w:r>
        <w:rPr>
          <w:iCs/>
          <w:sz w:val="24"/>
          <w:szCs w:val="24"/>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sz w:val="24"/>
          <w:szCs w:val="24"/>
        </w:rPr>
      </w:pPr>
      <w:r>
        <w:rPr>
          <w:b/>
          <w:sz w:val="24"/>
          <w:szCs w:val="24"/>
        </w:rPr>
        <w:t>6.1.2.2</w:t>
      </w:r>
      <w:r>
        <w:rPr>
          <w:sz w:val="24"/>
          <w:szCs w:val="24"/>
        </w:rPr>
        <w:tab/>
      </w:r>
      <w:r>
        <w:rPr>
          <w:sz w:val="24"/>
          <w:szCs w:val="24"/>
        </w:rPr>
        <w:t xml:space="preserve">Comprovação de vínculo empregatício com a licitante por qualquer </w:t>
      </w:r>
      <w:r>
        <w:rPr>
          <w:b/>
          <w:sz w:val="24"/>
          <w:szCs w:val="24"/>
          <w:u w:val="single"/>
        </w:rPr>
        <w:t xml:space="preserve">um </w:t>
      </w:r>
      <w:r>
        <w:rPr>
          <w:sz w:val="24"/>
          <w:szCs w:val="24"/>
        </w:rPr>
        <w:t>dos seguintes documentos:</w:t>
      </w: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reapresenta-lo.</w:t>
      </w:r>
    </w:p>
    <w:p>
      <w:pPr>
        <w:shd w:val="clear" w:color="auto" w:fill="F2F2F2"/>
        <w:suppressAutoHyphens/>
        <w:overflowPunct w:val="0"/>
        <w:autoSpaceDE w:val="0"/>
        <w:spacing w:after="0" w:line="240" w:lineRule="auto"/>
        <w:ind w:left="1134"/>
        <w:jc w:val="both"/>
        <w:textAlignment w:val="baseline"/>
        <w:rPr>
          <w:iCs/>
          <w:color w:val="000000"/>
          <w:sz w:val="24"/>
          <w:szCs w:val="24"/>
        </w:rPr>
      </w:pP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empregado permanente da empresa</w:t>
      </w:r>
      <w:r>
        <w:rPr>
          <w:iCs/>
          <w:sz w:val="24"/>
          <w:szCs w:val="24"/>
        </w:rPr>
        <w:t>, através de qualquer um dos documentos relacionado:</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Previdência Social,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sz w:val="24"/>
          <w:szCs w:val="24"/>
        </w:rPr>
        <w:t>Relação dos Trabalhadores da GFIP, somente a página aonde conste o nome do profissional.</w:t>
      </w: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numPr>
          <w:ilvl w:val="0"/>
          <w:numId w:val="8"/>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  contrato o reconhecimento  firma de ambas as partes</w:t>
      </w:r>
      <w:r>
        <w:rPr>
          <w:rFonts w:eastAsia="Calibri"/>
          <w:iCs/>
          <w:sz w:val="24"/>
          <w:szCs w:val="24"/>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w:t>
      </w:r>
      <w:r>
        <w:rPr>
          <w:rFonts w:eastAsia="Times New Roman"/>
          <w:sz w:val="24"/>
          <w:szCs w:val="24"/>
          <w:lang w:eastAsia="pt-BR"/>
        </w:rPr>
        <w:tab/>
      </w:r>
      <w:r>
        <w:rPr>
          <w:rFonts w:eastAsia="Times New Roman"/>
          <w:b/>
          <w:sz w:val="24"/>
          <w:szCs w:val="24"/>
          <w:lang w:eastAsia="pt-BR"/>
        </w:rPr>
        <w:t>Relativa à qualificação econômico-financeira</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w:t>
      </w:r>
      <w:r>
        <w:rPr>
          <w:rFonts w:eastAsia="Times New Roman"/>
          <w:sz w:val="24"/>
          <w:szCs w:val="24"/>
          <w:lang w:eastAsia="pt-BR"/>
        </w:rPr>
        <w:tab/>
      </w:r>
      <w:r>
        <w:rPr>
          <w:rFonts w:eastAsia="Times New Roman"/>
          <w:sz w:val="24"/>
          <w:szCs w:val="24"/>
          <w:lang w:eastAsia="pt-BR"/>
        </w:rPr>
        <w:t xml:space="preserve">Deverá apresentar também no </w:t>
      </w:r>
      <w:r>
        <w:rPr>
          <w:rFonts w:eastAsia="Times New Roman"/>
          <w:b/>
          <w:sz w:val="24"/>
          <w:szCs w:val="24"/>
          <w:lang w:eastAsia="pt-BR"/>
        </w:rPr>
        <w:t>Envelope de nº 01 - Habilitação</w:t>
      </w:r>
      <w:r>
        <w:rPr>
          <w:rFonts w:eastAsia="Times New Roman"/>
          <w:sz w:val="24"/>
          <w:szCs w:val="24"/>
          <w:lang w:eastAsia="pt-BR"/>
        </w:rPr>
        <w:t>, o que segue: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6.1.3.1.1</w:t>
      </w:r>
      <w:r>
        <w:rPr>
          <w:rFonts w:eastAsia="Times New Roman"/>
          <w:sz w:val="24"/>
          <w:szCs w:val="24"/>
          <w:lang w:eastAsia="pt-BR"/>
        </w:rPr>
        <w:tab/>
      </w:r>
      <w:r>
        <w:rPr>
          <w:rFonts w:eastAsia="Times New Roman"/>
          <w:sz w:val="24"/>
          <w:szCs w:val="24"/>
          <w:shd w:val="clear" w:color="auto" w:fill="F2F2F2"/>
          <w:lang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uppressAutoHyphens/>
        <w:spacing w:after="0" w:line="240" w:lineRule="auto"/>
        <w:ind w:left="851" w:hanging="851"/>
        <w:jc w:val="both"/>
        <w:rPr>
          <w:rFonts w:eastAsia="Times New Roman"/>
          <w:sz w:val="24"/>
          <w:szCs w:val="24"/>
          <w:lang w:eastAsia="ar-SA"/>
        </w:rPr>
      </w:pPr>
      <w:r>
        <w:rPr>
          <w:rFonts w:eastAsia="Times New Roman"/>
          <w:b/>
          <w:sz w:val="24"/>
          <w:szCs w:val="24"/>
          <w:lang w:eastAsia="ar-SA"/>
        </w:rPr>
        <w:t>6.1.3.1</w:t>
      </w:r>
      <w:r>
        <w:rPr>
          <w:rFonts w:eastAsia="Times New Roman"/>
          <w:b/>
          <w:sz w:val="24"/>
          <w:szCs w:val="24"/>
          <w:lang w:eastAsia="pt-BR"/>
        </w:rPr>
        <w:t>.</w:t>
      </w:r>
      <w:r>
        <w:rPr>
          <w:rFonts w:eastAsia="Times New Roman"/>
          <w:b/>
          <w:sz w:val="24"/>
          <w:szCs w:val="24"/>
          <w:lang w:eastAsia="ar-SA"/>
        </w:rPr>
        <w:t>2</w:t>
      </w:r>
      <w:r>
        <w:rPr>
          <w:rFonts w:eastAsia="Times New Roman"/>
          <w:sz w:val="24"/>
          <w:szCs w:val="24"/>
          <w:lang w:eastAsia="ar-SA"/>
        </w:rPr>
        <w:t xml:space="preserve">Serão considerados aceitos como </w:t>
      </w:r>
      <w:r>
        <w:rPr>
          <w:rFonts w:eastAsia="Times New Roman"/>
          <w:b/>
          <w:i/>
          <w:sz w:val="24"/>
          <w:szCs w:val="24"/>
          <w:lang w:eastAsia="ar-SA"/>
        </w:rPr>
        <w:t>na forma da lei</w:t>
      </w:r>
      <w:r>
        <w:rPr>
          <w:rFonts w:eastAsia="Times New Roman"/>
          <w:sz w:val="24"/>
          <w:szCs w:val="24"/>
          <w:lang w:eastAsia="ar-SA"/>
        </w:rPr>
        <w:t xml:space="preserve"> o Balanço Patrimonial e Demonstrações Contábeis assim apresentados:</w:t>
      </w:r>
    </w:p>
    <w:p>
      <w:pPr>
        <w:suppressAutoHyphens/>
        <w:spacing w:after="0" w:line="240" w:lineRule="auto"/>
        <w:jc w:val="both"/>
        <w:rPr>
          <w:rFonts w:eastAsia="Times New Roman"/>
          <w:sz w:val="24"/>
          <w:szCs w:val="24"/>
          <w:lang w:eastAsia="ar-SA"/>
        </w:rPr>
      </w:pPr>
    </w:p>
    <w:p>
      <w:pPr>
        <w:tabs>
          <w:tab w:val="left" w:pos="1418"/>
          <w:tab w:val="left" w:pos="2410"/>
        </w:tabs>
        <w:suppressAutoHyphens/>
        <w:spacing w:after="0" w:line="240" w:lineRule="auto"/>
        <w:ind w:left="851"/>
        <w:jc w:val="both"/>
        <w:rPr>
          <w:rFonts w:eastAsia="Times New Roman"/>
          <w:sz w:val="24"/>
          <w:szCs w:val="24"/>
          <w:lang w:eastAsia="ar-SA"/>
        </w:rPr>
      </w:pPr>
      <w:r>
        <w:rPr>
          <w:rFonts w:eastAsia="Times New Roman"/>
          <w:sz w:val="24"/>
          <w:szCs w:val="24"/>
          <w:lang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d) </w:t>
      </w:r>
      <w:r>
        <w:rPr>
          <w:rFonts w:eastAsia="Times New Roman"/>
          <w:b/>
          <w:color w:val="000000"/>
          <w:sz w:val="24"/>
          <w:szCs w:val="24"/>
          <w:u w:val="single"/>
          <w:lang w:eastAsia="pt-BR"/>
        </w:rPr>
        <w:t>Para as sociedades criadas no exercício em curso</w:t>
      </w:r>
      <w:r>
        <w:rPr>
          <w:rFonts w:eastAsia="Times New Roman"/>
          <w:color w:val="000000"/>
          <w:sz w:val="24"/>
          <w:szCs w:val="24"/>
          <w:lang w:eastAsia="pt-BR"/>
        </w:rPr>
        <w:t>, Demonstrações Contábeis envolvendo seus direitos, obrigações e patrimônio líquido relativo ao período de sua existência.</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r>
        <w:rPr>
          <w:rFonts w:eastAsia="Times New Roman"/>
          <w:b/>
          <w:sz w:val="24"/>
          <w:szCs w:val="24"/>
          <w:lang w:eastAsia="pt-BR"/>
        </w:rPr>
        <w:t>Paragrafo único –</w:t>
      </w:r>
      <w:r>
        <w:rPr>
          <w:rFonts w:eastAsia="Times New Roman"/>
          <w:sz w:val="24"/>
          <w:szCs w:val="24"/>
          <w:lang w:eastAsia="pt-BR"/>
        </w:rPr>
        <w:t xml:space="preserve"> Observado Instrução Normativa RFB nº 2.023, de 28 de Abril de 2021.</w:t>
      </w: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bCs/>
          <w:iCs/>
          <w:color w:val="000000"/>
          <w:sz w:val="24"/>
          <w:szCs w:val="24"/>
          <w:lang w:eastAsia="pt-BR"/>
        </w:rPr>
      </w:pPr>
      <w:r>
        <w:rPr>
          <w:rFonts w:eastAsia="Times New Roman"/>
          <w:b/>
          <w:sz w:val="24"/>
          <w:szCs w:val="24"/>
          <w:lang w:eastAsia="ar-SA"/>
        </w:rPr>
        <w:t>6.1.3.1.3</w:t>
      </w:r>
      <w:r>
        <w:rPr>
          <w:rFonts w:eastAsia="Times New Roman"/>
          <w:sz w:val="24"/>
          <w:szCs w:val="24"/>
          <w:lang w:eastAsia="pt-BR"/>
        </w:rPr>
        <w:t xml:space="preserve"> </w:t>
      </w:r>
      <w:r>
        <w:rPr>
          <w:rFonts w:eastAsia="Times New Roman"/>
          <w:bCs/>
          <w:iCs/>
          <w:color w:val="000000"/>
          <w:sz w:val="24"/>
          <w:szCs w:val="24"/>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val="0"/>
        <w:autoSpaceDE w:val="0"/>
        <w:autoSpaceDN w:val="0"/>
        <w:adjustRightInd w:val="0"/>
        <w:spacing w:after="0" w:line="240" w:lineRule="auto"/>
        <w:ind w:right="-1"/>
        <w:jc w:val="center"/>
        <w:textAlignment w:val="baseline"/>
        <w:rPr>
          <w:rFonts w:eastAsia="Times New Roman"/>
          <w:b/>
          <w:bCs/>
          <w:iCs/>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LG = </w:t>
      </w:r>
      <w:r>
        <w:rPr>
          <w:rFonts w:eastAsia="Times New Roman"/>
          <w:color w:val="000000"/>
          <w:sz w:val="24"/>
          <w:szCs w:val="24"/>
          <w:u w:val="single"/>
          <w:lang w:eastAsia="pt-BR"/>
        </w:rPr>
        <w:t>Ativo Circulante + Realizável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SG =</w:t>
      </w:r>
      <w:r>
        <w:rPr>
          <w:rFonts w:eastAsia="Times New Roman"/>
          <w:color w:val="000000"/>
          <w:sz w:val="24"/>
          <w:szCs w:val="24"/>
          <w:u w:val="single"/>
          <w:lang w:eastAsia="pt-BR"/>
        </w:rPr>
        <w:t xml:space="preserve">                     Ativo Total_________________</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jc w:val="center"/>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LC =                </w:t>
      </w:r>
      <w:r>
        <w:rPr>
          <w:rFonts w:eastAsia="Times New Roman"/>
          <w:color w:val="000000"/>
          <w:sz w:val="24"/>
          <w:szCs w:val="24"/>
          <w:u w:val="single"/>
          <w:lang w:eastAsia="pt-BR"/>
        </w:rPr>
        <w:t>_Ativo Circulante</w:t>
      </w:r>
    </w:p>
    <w:p>
      <w:pPr>
        <w:overflowPunct w:val="0"/>
        <w:autoSpaceDE w:val="0"/>
        <w:autoSpaceDN w:val="0"/>
        <w:adjustRightInd w:val="0"/>
        <w:spacing w:after="0" w:line="240" w:lineRule="auto"/>
        <w:ind w:left="1512" w:firstLine="615"/>
        <w:textAlignment w:val="baseline"/>
        <w:rPr>
          <w:rFonts w:eastAsia="Times New Roman"/>
          <w:sz w:val="24"/>
          <w:szCs w:val="24"/>
          <w:lang w:eastAsia="pt-BR"/>
        </w:rPr>
      </w:pPr>
      <w:r>
        <w:rPr>
          <w:rFonts w:eastAsia="Times New Roman"/>
          <w:sz w:val="24"/>
          <w:szCs w:val="24"/>
          <w:lang w:eastAsia="pt-BR"/>
        </w:rPr>
        <w:t xml:space="preserve">                        Passivo Circulante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6.1.3.1.4</w:t>
      </w:r>
      <w:r>
        <w:rPr>
          <w:rFonts w:eastAsia="Times New Roman"/>
          <w:sz w:val="24"/>
          <w:szCs w:val="24"/>
          <w:lang w:eastAsia="pt-BR"/>
        </w:rPr>
        <w:t xml:space="preserve"> </w:t>
      </w:r>
      <w:r>
        <w:rPr>
          <w:rFonts w:eastAsia="Times New Roman"/>
          <w:b/>
          <w:sz w:val="24"/>
          <w:szCs w:val="24"/>
          <w:u w:val="single"/>
          <w:lang w:eastAsia="pt-BR"/>
        </w:rPr>
        <w:t xml:space="preserve">APRESENTAR </w:t>
      </w:r>
      <w:r>
        <w:rPr>
          <w:rFonts w:eastAsia="Times New Roman"/>
          <w:sz w:val="24"/>
          <w:szCs w:val="24"/>
          <w:lang w:eastAsia="pt-BR"/>
        </w:rPr>
        <w:t xml:space="preserve">As fórmulas deverão, estar devidamente aplicadas em memorial de cálculos juntado ao balanço, como mencionado no item </w:t>
      </w:r>
      <w:r>
        <w:rPr>
          <w:rFonts w:eastAsia="Times New Roman"/>
          <w:b/>
          <w:color w:val="FF0000"/>
          <w:sz w:val="24"/>
          <w:szCs w:val="24"/>
          <w:lang w:eastAsia="pt-BR"/>
        </w:rPr>
        <w:t>6.1.3.1.3</w:t>
      </w:r>
      <w:r>
        <w:rPr>
          <w:rFonts w:eastAsia="Times New Roman"/>
          <w:sz w:val="24"/>
          <w:szCs w:val="24"/>
          <w:lang w:eastAsia="pt-BR"/>
        </w:rPr>
        <w:t xml:space="preserve">, </w:t>
      </w:r>
      <w:r>
        <w:rPr>
          <w:rFonts w:eastAsia="Times New Roman"/>
          <w:b/>
          <w:sz w:val="24"/>
          <w:szCs w:val="24"/>
          <w:u w:val="single"/>
          <w:lang w:eastAsia="pt-BR"/>
        </w:rPr>
        <w:t>assinadas pelo técnico contábil ou contabilista responsável, devidamente registrado no CRC</w:t>
      </w:r>
      <w:r>
        <w:rPr>
          <w:rFonts w:eastAsia="Times New Roman"/>
          <w:sz w:val="24"/>
          <w:szCs w:val="24"/>
          <w:lang w:eastAsia="pt-BR"/>
        </w:rPr>
        <w:t>.</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6.1.3.1.5</w:t>
      </w:r>
      <w:r>
        <w:rPr>
          <w:rFonts w:eastAsia="Times New Roman"/>
          <w:sz w:val="24"/>
          <w:szCs w:val="24"/>
          <w:lang w:eastAsia="pt-BR"/>
        </w:rPr>
        <w:t xml:space="preserve"> Se necessária à atualização do balanço e do capital social, deverá ser apresentado, juntamente com os documentos em apreço, o memorial de cálculo correspondente.</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tabs>
          <w:tab w:val="left" w:pos="2410"/>
        </w:tabs>
        <w:autoSpaceDE w:val="0"/>
        <w:autoSpaceDN w:val="0"/>
        <w:adjustRightInd w:val="0"/>
        <w:spacing w:after="0" w:line="240" w:lineRule="auto"/>
        <w:jc w:val="both"/>
        <w:rPr>
          <w:rFonts w:eastAsia="Times New Roman"/>
          <w:color w:val="000000"/>
          <w:sz w:val="24"/>
          <w:szCs w:val="24"/>
          <w:lang w:eastAsia="pt-BR"/>
        </w:rPr>
      </w:pPr>
      <w:r>
        <w:rPr>
          <w:rFonts w:eastAsia="Times New Roman"/>
          <w:color w:val="000000"/>
          <w:sz w:val="24"/>
          <w:szCs w:val="24"/>
          <w:lang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after="0" w:line="240" w:lineRule="auto"/>
        <w:jc w:val="both"/>
        <w:rPr>
          <w:rFonts w:eastAsia="Times New Roman"/>
          <w:sz w:val="24"/>
          <w:szCs w:val="24"/>
          <w:lang w:eastAsia="ar-SA"/>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w:t>
      </w:r>
      <w:r>
        <w:rPr>
          <w:rFonts w:eastAsia="Times New Roman"/>
          <w:sz w:val="24"/>
          <w:szCs w:val="24"/>
          <w:lang w:eastAsia="pt-BR"/>
        </w:rPr>
        <w:tab/>
      </w:r>
      <w:r>
        <w:rPr>
          <w:rFonts w:eastAsia="Times New Roman"/>
          <w:sz w:val="24"/>
          <w:szCs w:val="24"/>
          <w:lang w:eastAsia="pt-BR"/>
        </w:rPr>
        <w:t xml:space="preserve">Todas as Licitantes deverão apresentar dentro do envelope nº 1 – </w:t>
      </w:r>
      <w:r>
        <w:rPr>
          <w:rFonts w:eastAsia="Times New Roman"/>
          <w:b/>
          <w:sz w:val="24"/>
          <w:szCs w:val="24"/>
          <w:lang w:eastAsia="pt-BR"/>
        </w:rPr>
        <w:t>Habilitação</w:t>
      </w:r>
      <w:r>
        <w:rPr>
          <w:rFonts w:eastAsia="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 xml:space="preserve">6.1.3.2.1 </w:t>
      </w:r>
      <w:r>
        <w:rPr>
          <w:rFonts w:eastAsia="Times New Roman"/>
          <w:sz w:val="24"/>
          <w:szCs w:val="24"/>
          <w:lang w:eastAsia="pt-BR"/>
        </w:rPr>
        <w:tab/>
      </w:r>
      <w:r>
        <w:rPr>
          <w:rFonts w:eastAsia="Times New Roman"/>
          <w:sz w:val="24"/>
          <w:szCs w:val="24"/>
          <w:lang w:eastAsia="pt-BR"/>
        </w:rPr>
        <w:t xml:space="preserve">Declaração assinada por quem de direito, por parte da Licitante, de que </w:t>
      </w:r>
      <w:r>
        <w:rPr>
          <w:rFonts w:eastAsia="Times New Roman"/>
          <w:b/>
          <w:sz w:val="24"/>
          <w:szCs w:val="24"/>
          <w:lang w:eastAsia="pt-BR"/>
        </w:rPr>
        <w:t>não emprega mão-de-obra de menores de 18 (dezoito) anos</w:t>
      </w:r>
      <w:r>
        <w:rPr>
          <w:rFonts w:eastAsia="Times New Roman"/>
          <w:sz w:val="24"/>
          <w:szCs w:val="24"/>
          <w:lang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eastAsia="pt-BR"/>
        </w:rPr>
        <w:t>Anexo VI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6.1.3.2.2</w:t>
      </w:r>
      <w:r>
        <w:rPr>
          <w:rFonts w:eastAsia="Times New Roman"/>
          <w:sz w:val="24"/>
          <w:szCs w:val="24"/>
          <w:lang w:eastAsia="pt-BR"/>
        </w:rPr>
        <w:tab/>
      </w:r>
      <w:r>
        <w:rPr>
          <w:rFonts w:eastAsia="Times New Roman"/>
          <w:sz w:val="24"/>
          <w:szCs w:val="24"/>
          <w:lang w:eastAsia="pt-BR"/>
        </w:rPr>
        <w:t xml:space="preserve"> Declaração de que </w:t>
      </w:r>
      <w:r>
        <w:rPr>
          <w:rFonts w:eastAsia="Times New Roman"/>
          <w:b/>
          <w:sz w:val="24"/>
          <w:szCs w:val="24"/>
          <w:lang w:eastAsia="pt-BR"/>
        </w:rPr>
        <w:t>não há fato impeditivo de participar de licitações</w:t>
      </w:r>
      <w:r>
        <w:rPr>
          <w:rFonts w:eastAsia="Times New Roman"/>
          <w:sz w:val="24"/>
          <w:szCs w:val="24"/>
          <w:lang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eastAsia="pt-BR"/>
        </w:rPr>
        <w:t>Anexo VII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6.1.3.2.3</w:t>
      </w:r>
      <w:r>
        <w:rPr>
          <w:rFonts w:eastAsia="Times New Roman"/>
          <w:sz w:val="24"/>
          <w:szCs w:val="24"/>
          <w:lang w:eastAsia="pt-BR"/>
        </w:rPr>
        <w:tab/>
      </w:r>
      <w:r>
        <w:rPr>
          <w:rFonts w:eastAsia="Times New Roman"/>
          <w:sz w:val="24"/>
          <w:szCs w:val="24"/>
          <w:lang w:eastAsia="pt-BR"/>
        </w:rPr>
        <w:t xml:space="preserve"> Declaração conhecimento e </w:t>
      </w:r>
      <w:r>
        <w:rPr>
          <w:rFonts w:eastAsia="Times New Roman"/>
          <w:b/>
          <w:sz w:val="24"/>
          <w:szCs w:val="24"/>
          <w:lang w:eastAsia="pt-BR"/>
        </w:rPr>
        <w:t>aceitação do teor do edital</w:t>
      </w:r>
      <w:r>
        <w:rPr>
          <w:rFonts w:eastAsia="Times New Roman"/>
          <w:sz w:val="24"/>
          <w:szCs w:val="24"/>
          <w:lang w:eastAsia="pt-BR"/>
        </w:rPr>
        <w:t xml:space="preserve">, conforme modelo constante no </w:t>
      </w:r>
      <w:r>
        <w:rPr>
          <w:rFonts w:eastAsia="Times New Roman"/>
          <w:color w:val="FF0000"/>
          <w:sz w:val="24"/>
          <w:szCs w:val="24"/>
          <w:lang w:eastAsia="pt-BR"/>
        </w:rPr>
        <w:t>Anexo VIII</w:t>
      </w:r>
      <w:r>
        <w:rPr>
          <w:rFonts w:eastAsia="Times New Roman"/>
          <w:b/>
          <w:sz w:val="24"/>
          <w:szCs w:val="24"/>
          <w:lang w:eastAsia="pt-BR"/>
        </w:rPr>
        <w:t>,</w:t>
      </w:r>
      <w:r>
        <w:rPr>
          <w:rFonts w:eastAsia="Times New Roman"/>
          <w:sz w:val="24"/>
          <w:szCs w:val="24"/>
          <w:lang w:eastAsia="pt-BR"/>
        </w:rPr>
        <w:t xml:space="preserve"> de que concorda integralmente e sem restrições, com todas as condições impostas por este processo licitatório;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6.1.3.2.4</w:t>
      </w:r>
      <w:r>
        <w:rPr>
          <w:rFonts w:eastAsia="Times New Roman"/>
          <w:sz w:val="24"/>
          <w:szCs w:val="24"/>
          <w:lang w:eastAsia="pt-BR"/>
        </w:rPr>
        <w:tab/>
      </w:r>
      <w:r>
        <w:rPr>
          <w:rFonts w:eastAsia="Times New Roman"/>
          <w:sz w:val="24"/>
          <w:szCs w:val="24"/>
          <w:lang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rPr>
      </w:pPr>
    </w:p>
    <w:p>
      <w:pPr>
        <w:numPr>
          <w:ilvl w:val="0"/>
          <w:numId w:val="9"/>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Em se tratando de Microempresas e Empresas de Pequeno Porte deverão comprovar seu enquadramento em um dos regimes, mediante a apresentação da </w:t>
      </w:r>
      <w:r>
        <w:rPr>
          <w:b/>
          <w:sz w:val="24"/>
          <w:szCs w:val="24"/>
        </w:rPr>
        <w:t>Certidão expedida pela Junta Comercial ou pelo Registro Civil das Pessoas Jurídicas</w:t>
      </w:r>
      <w:r>
        <w:rPr>
          <w:sz w:val="24"/>
          <w:szCs w:val="24"/>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rPr>
        <w:t>60 (sessenta) dias</w:t>
      </w:r>
      <w:r>
        <w:rPr>
          <w:sz w:val="24"/>
          <w:szCs w:val="24"/>
        </w:rPr>
        <w:t>.</w:t>
      </w:r>
    </w:p>
    <w:p>
      <w:pPr>
        <w:tabs>
          <w:tab w:val="left" w:pos="851"/>
        </w:tabs>
        <w:ind w:left="851" w:right="-1" w:hanging="11"/>
        <w:jc w:val="both"/>
        <w:rPr>
          <w:sz w:val="24"/>
          <w:szCs w:val="24"/>
        </w:rPr>
      </w:pPr>
    </w:p>
    <w:p>
      <w:pPr>
        <w:numPr>
          <w:ilvl w:val="0"/>
          <w:numId w:val="9"/>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Declaração firmada pelo representante legal da empresa, de </w:t>
      </w:r>
      <w:r>
        <w:rPr>
          <w:b/>
          <w:sz w:val="24"/>
          <w:szCs w:val="24"/>
        </w:rPr>
        <w:t>não haver nenhum dos impedimentos previstos nos incisos do § 4º do Artigo 3º da Lei Complementar nº. 123/06</w:t>
      </w:r>
      <w:r>
        <w:rPr>
          <w:sz w:val="24"/>
          <w:szCs w:val="24"/>
        </w:rPr>
        <w:t xml:space="preserve">, com data de emissão não superior a 30 (trinta) dias da abertura da licitação. </w:t>
      </w:r>
      <w:r>
        <w:rPr>
          <w:color w:val="FF0000"/>
          <w:sz w:val="24"/>
          <w:szCs w:val="24"/>
        </w:rPr>
        <w:t>Anexo V</w:t>
      </w:r>
    </w:p>
    <w:p>
      <w:pPr>
        <w:tabs>
          <w:tab w:val="left" w:pos="851"/>
          <w:tab w:val="left" w:pos="1418"/>
        </w:tabs>
        <w:overflowPunct w:val="0"/>
        <w:autoSpaceDE w:val="0"/>
        <w:autoSpaceDN w:val="0"/>
        <w:adjustRightInd w:val="0"/>
        <w:spacing w:after="0" w:line="240" w:lineRule="auto"/>
        <w:ind w:left="712"/>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hanging="567"/>
        <w:jc w:val="both"/>
        <w:textAlignment w:val="baseline"/>
        <w:rPr>
          <w:rFonts w:eastAsia="Times New Roman"/>
          <w:sz w:val="24"/>
          <w:szCs w:val="24"/>
          <w:lang w:eastAsia="pt-BR"/>
        </w:rPr>
      </w:pPr>
      <w:r>
        <w:rPr>
          <w:rFonts w:eastAsia="Times New Roman"/>
          <w:b/>
          <w:sz w:val="24"/>
          <w:szCs w:val="24"/>
          <w:lang w:eastAsia="pt-BR"/>
        </w:rPr>
        <w:t>6.1.4</w:t>
      </w:r>
      <w:r>
        <w:rPr>
          <w:rFonts w:eastAsia="Times New Roman"/>
          <w:b/>
          <w:sz w:val="24"/>
          <w:szCs w:val="24"/>
          <w:lang w:eastAsia="pt-BR"/>
        </w:rPr>
        <w:tab/>
      </w:r>
      <w:r>
        <w:rPr>
          <w:rFonts w:eastAsia="Times New Roman"/>
          <w:b/>
          <w:sz w:val="24"/>
          <w:szCs w:val="24"/>
          <w:lang w:eastAsia="pt-BR"/>
        </w:rPr>
        <w:t>Relativos à regularidade fiscal</w:t>
      </w:r>
      <w:r>
        <w:rPr>
          <w:rFonts w:eastAsia="Times New Roman"/>
          <w:sz w:val="24"/>
          <w:szCs w:val="24"/>
          <w:lang w:eastAsia="pt-BR"/>
        </w:rPr>
        <w:t>:</w:t>
      </w:r>
    </w:p>
    <w:p>
      <w:pPr>
        <w:autoSpaceDE w:val="0"/>
        <w:autoSpaceDN w:val="0"/>
        <w:adjustRightInd w:val="0"/>
        <w:spacing w:after="0" w:line="240" w:lineRule="auto"/>
        <w:ind w:left="712"/>
        <w:jc w:val="both"/>
        <w:rPr>
          <w:rFonts w:eastAsia="Times New Roman"/>
          <w:color w:val="000000"/>
          <w:sz w:val="24"/>
          <w:szCs w:val="24"/>
          <w:lang w:eastAsia="pt-BR"/>
        </w:rPr>
      </w:pPr>
    </w:p>
    <w:p>
      <w:pPr>
        <w:pStyle w:val="47"/>
        <w:ind w:left="712"/>
        <w:jc w:val="both"/>
        <w:rPr>
          <w:rFonts w:ascii="Times New Roman" w:hAnsi="Times New Roman" w:cs="Times New Roman"/>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Comprovante de Inscrição no Cadastro Nacional de Pessoa Jurídica (</w:t>
      </w:r>
      <w:r>
        <w:rPr>
          <w:b/>
          <w:bCs/>
          <w:iCs/>
          <w:sz w:val="24"/>
          <w:szCs w:val="24"/>
        </w:rPr>
        <w:t>CNPJ</w:t>
      </w:r>
      <w:r>
        <w:rPr>
          <w:bCs/>
          <w:iCs/>
          <w:sz w:val="24"/>
          <w:szCs w:val="24"/>
        </w:rPr>
        <w:t>)</w:t>
      </w:r>
    </w:p>
    <w:p>
      <w:pPr>
        <w:ind w:left="851" w:right="-1"/>
        <w:jc w:val="both"/>
        <w:rPr>
          <w:bCs/>
          <w:iCs/>
          <w:sz w:val="24"/>
          <w:szCs w:val="24"/>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Conjunta Negativa ou Certidão Conjunta Positiva com Efeito de Negativa de Débitos relativos aos Tributos Federais e à Dívida Ativa da </w:t>
      </w:r>
      <w:r>
        <w:rPr>
          <w:b/>
          <w:bCs/>
          <w:iCs/>
          <w:sz w:val="24"/>
          <w:szCs w:val="24"/>
        </w:rPr>
        <w:t>União</w:t>
      </w:r>
      <w:r>
        <w:rPr>
          <w:bCs/>
          <w:iCs/>
          <w:sz w:val="24"/>
          <w:szCs w:val="24"/>
        </w:rPr>
        <w:t>, abrangendo às Contribuições Sociais, de acordo com a Portaria MF 358, de 05 de setembro de 2014.</w:t>
      </w:r>
    </w:p>
    <w:p>
      <w:pPr>
        <w:pStyle w:val="46"/>
        <w:spacing w:after="0" w:line="240" w:lineRule="auto"/>
        <w:jc w:val="both"/>
        <w:rPr>
          <w:rFonts w:ascii="Times New Roman" w:hAnsi="Times New Roman"/>
          <w:bCs/>
          <w:iCs/>
          <w:sz w:val="24"/>
          <w:szCs w:val="24"/>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Débitos de Tributos </w:t>
      </w:r>
      <w:r>
        <w:rPr>
          <w:b/>
          <w:bCs/>
          <w:iCs/>
          <w:sz w:val="24"/>
          <w:szCs w:val="24"/>
        </w:rPr>
        <w:t>Estaduais</w:t>
      </w:r>
      <w:r>
        <w:rPr>
          <w:bCs/>
          <w:iCs/>
          <w:sz w:val="24"/>
          <w:szCs w:val="24"/>
        </w:rPr>
        <w:t>;</w:t>
      </w:r>
    </w:p>
    <w:p>
      <w:pPr>
        <w:pStyle w:val="46"/>
        <w:spacing w:after="0" w:line="240" w:lineRule="auto"/>
        <w:jc w:val="both"/>
        <w:rPr>
          <w:rFonts w:ascii="Times New Roman" w:hAnsi="Times New Roman"/>
          <w:bCs/>
          <w:iCs/>
          <w:sz w:val="24"/>
          <w:szCs w:val="24"/>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Municipal</w:t>
      </w:r>
      <w:r>
        <w:rPr>
          <w:bCs/>
          <w:iCs/>
          <w:sz w:val="24"/>
          <w:szCs w:val="24"/>
        </w:rPr>
        <w:t xml:space="preserve"> da sede do licitante;</w:t>
      </w:r>
    </w:p>
    <w:p>
      <w:pPr>
        <w:pStyle w:val="46"/>
        <w:spacing w:after="0" w:line="240" w:lineRule="auto"/>
        <w:jc w:val="both"/>
        <w:rPr>
          <w:rFonts w:ascii="Times New Roman" w:hAnsi="Times New Roman"/>
          <w:bCs/>
          <w:iCs/>
          <w:sz w:val="24"/>
          <w:szCs w:val="24"/>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Prova de regularidade relativa ao Fundo de Garantia por Tempo de Serviços (</w:t>
      </w:r>
      <w:r>
        <w:rPr>
          <w:b/>
          <w:bCs/>
          <w:iCs/>
          <w:sz w:val="24"/>
          <w:szCs w:val="24"/>
        </w:rPr>
        <w:t>FGTS</w:t>
      </w:r>
      <w:r>
        <w:rPr>
          <w:bCs/>
          <w:iCs/>
          <w:sz w:val="24"/>
          <w:szCs w:val="24"/>
        </w:rPr>
        <w:t>);</w:t>
      </w:r>
    </w:p>
    <w:p>
      <w:pPr>
        <w:pStyle w:val="46"/>
        <w:rPr>
          <w:rFonts w:ascii="Times New Roman" w:hAnsi="Times New Roman"/>
          <w:bCs/>
          <w:iCs/>
          <w:sz w:val="24"/>
          <w:szCs w:val="24"/>
        </w:rPr>
      </w:pPr>
    </w:p>
    <w:p>
      <w:pPr>
        <w:numPr>
          <w:ilvl w:val="0"/>
          <w:numId w:val="10"/>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Trabalhistas</w:t>
      </w:r>
      <w:r>
        <w:rPr>
          <w:bCs/>
          <w:iCs/>
          <w:sz w:val="24"/>
          <w:szCs w:val="24"/>
        </w:rPr>
        <w:t xml:space="preserve"> - CNDT;</w:t>
      </w:r>
    </w:p>
    <w:p>
      <w:pPr>
        <w:pStyle w:val="46"/>
        <w:rPr>
          <w:rFonts w:ascii="Times New Roman" w:hAnsi="Times New Roman"/>
          <w:bCs/>
          <w:iCs/>
          <w:sz w:val="24"/>
          <w:szCs w:val="24"/>
        </w:rPr>
      </w:pPr>
    </w:p>
    <w:p>
      <w:pPr>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6.1.4.6</w:t>
      </w:r>
      <w:r>
        <w:rPr>
          <w:rFonts w:eastAsia="Times New Roman"/>
          <w:sz w:val="24"/>
          <w:szCs w:val="24"/>
          <w:lang w:eastAsia="pt-BR"/>
        </w:rPr>
        <w:tab/>
      </w:r>
      <w:r>
        <w:rPr>
          <w:rFonts w:eastAsia="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pPr>
        <w:autoSpaceDE w:val="0"/>
        <w:autoSpaceDN w:val="0"/>
        <w:adjustRightInd w:val="0"/>
        <w:spacing w:after="0" w:line="240" w:lineRule="auto"/>
        <w:ind w:left="709" w:hanging="709"/>
        <w:rPr>
          <w:rFonts w:eastAsia="Times New Roman"/>
          <w:sz w:val="24"/>
          <w:szCs w:val="24"/>
          <w:lang w:eastAsia="pt-BR"/>
        </w:rPr>
      </w:pPr>
    </w:p>
    <w:p>
      <w:pPr>
        <w:tabs>
          <w:tab w:val="left" w:pos="1965"/>
        </w:tabs>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6.1.4.7</w:t>
      </w:r>
      <w:r>
        <w:rPr>
          <w:rFonts w:eastAsia="Times New Roman"/>
          <w:sz w:val="24"/>
          <w:szCs w:val="24"/>
          <w:lang w:eastAsia="pt-BR"/>
        </w:rPr>
        <w:tab/>
      </w:r>
      <w:r>
        <w:rPr>
          <w:rFonts w:eastAsia="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autoSpaceDE w:val="0"/>
        <w:autoSpaceDN w:val="0"/>
        <w:adjustRightInd w:val="0"/>
        <w:spacing w:after="0" w:line="240" w:lineRule="auto"/>
        <w:ind w:left="709" w:hanging="709"/>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6.1.4.8</w:t>
      </w:r>
      <w:r>
        <w:rPr>
          <w:rFonts w:eastAsia="Times New Roman"/>
          <w:sz w:val="24"/>
          <w:szCs w:val="24"/>
          <w:lang w:eastAsia="pt-BR"/>
        </w:rPr>
        <w:tab/>
      </w:r>
      <w:r>
        <w:rPr>
          <w:rFonts w:eastAsia="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r>
        <w:rPr>
          <w:rFonts w:eastAsia="Times New Roman"/>
          <w:b/>
          <w:sz w:val="24"/>
          <w:szCs w:val="24"/>
          <w:lang w:eastAsia="pt-BR"/>
        </w:rPr>
        <w:t>6.2</w:t>
      </w:r>
      <w:r>
        <w:rPr>
          <w:rFonts w:eastAsia="Times New Roman"/>
          <w:b/>
          <w:sz w:val="24"/>
          <w:szCs w:val="24"/>
          <w:lang w:eastAsia="pt-BR"/>
        </w:rPr>
        <w:tab/>
      </w:r>
      <w:r>
        <w:rPr>
          <w:rFonts w:eastAsia="Times New Roman"/>
          <w:b/>
          <w:sz w:val="24"/>
          <w:szCs w:val="24"/>
          <w:lang w:eastAsia="pt-BR"/>
        </w:rPr>
        <w:t>DAS DISPOSIÇÕES GERAIS DA HABILITAÇÃO</w:t>
      </w:r>
    </w:p>
    <w:p>
      <w:pPr>
        <w:overflowPunct w:val="0"/>
        <w:autoSpaceDE w:val="0"/>
        <w:autoSpaceDN w:val="0"/>
        <w:adjustRightInd w:val="0"/>
        <w:spacing w:after="0" w:line="240" w:lineRule="auto"/>
        <w:jc w:val="both"/>
        <w:textAlignment w:val="baseline"/>
        <w:rPr>
          <w:rFonts w:eastAsia="Times New Roman"/>
          <w:b/>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6.2.1</w:t>
      </w:r>
      <w:r>
        <w:rPr>
          <w:rFonts w:eastAsia="Times New Roman"/>
          <w:sz w:val="24"/>
          <w:szCs w:val="24"/>
          <w:lang w:eastAsia="pt-BR"/>
        </w:rPr>
        <w:tab/>
      </w:r>
      <w:r>
        <w:rPr>
          <w:rFonts w:eastAsia="Times New Roman"/>
          <w:sz w:val="24"/>
          <w:szCs w:val="24"/>
          <w:lang w:eastAsia="pt-BR"/>
        </w:rPr>
        <w:t>Todos os documentos apresentados para habilitação deverão estar em nome da Licitante, e com  número do CNPJ e endereço respectivo: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a) se a Licitante for a matriz, todos os documentos deverão estar em nome da matriz;</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b) se a Licitante for a filial, todos os documentos deverão estar em nome da filial;</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c) serão dispensados da filial aqueles documentos que, pela própria natureza, comprovadamente, forem emitidos somente em nome da matriz, quando estes deverão ser apresentados;</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d) os atestados de capacidade técnica/responsabilidade técnica poderão ser apresentados em nome e com CNPJ da matriz e/ou da (s) filial (ais) da Licitante.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6.2.2</w:t>
      </w:r>
      <w:r>
        <w:rPr>
          <w:rFonts w:eastAsia="Times New Roman"/>
          <w:sz w:val="24"/>
          <w:szCs w:val="24"/>
          <w:lang w:eastAsia="pt-BR"/>
        </w:rPr>
        <w:tab/>
      </w:r>
      <w:r>
        <w:rPr>
          <w:rFonts w:eastAsia="Times New Roman"/>
          <w:sz w:val="24"/>
          <w:szCs w:val="24"/>
          <w:lang w:eastAsia="pt-BR"/>
        </w:rPr>
        <w:t xml:space="preserve">Os documentos exigidos nesta </w:t>
      </w:r>
      <w:r>
        <w:rPr>
          <w:rFonts w:eastAsia="Times New Roman"/>
          <w:b/>
          <w:sz w:val="24"/>
          <w:szCs w:val="24"/>
          <w:lang w:eastAsia="pt-BR"/>
        </w:rPr>
        <w:t>Tomada de Preços</w:t>
      </w:r>
      <w:r>
        <w:rPr>
          <w:rFonts w:eastAsia="Times New Roman"/>
          <w:sz w:val="24"/>
          <w:szCs w:val="24"/>
          <w:lang w:eastAsia="pt-BR"/>
        </w:rPr>
        <w:t xml:space="preserve"> poderão ser apresentados em </w:t>
      </w:r>
      <w:r>
        <w:rPr>
          <w:rFonts w:eastAsia="Times New Roman"/>
          <w:sz w:val="24"/>
          <w:szCs w:val="24"/>
          <w:u w:val="single"/>
          <w:lang w:eastAsia="pt-BR"/>
        </w:rPr>
        <w:t>original, por qualquer processo de cópia autenticada em Cartório ou por membro da Comissão Permanente de Licitação ou publicação</w:t>
      </w:r>
      <w:r>
        <w:rPr>
          <w:rFonts w:eastAsia="Times New Roman"/>
          <w:sz w:val="24"/>
          <w:szCs w:val="24"/>
          <w:lang w:eastAsia="pt-BR"/>
        </w:rPr>
        <w:t xml:space="preserve"> em órgão da imprensa oficial, observando-se o seguinte: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numPr>
          <w:ilvl w:val="0"/>
          <w:numId w:val="11"/>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Serão aceitas somente cópias legíveis;</w:t>
      </w:r>
    </w:p>
    <w:p>
      <w:p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p>
    <w:p>
      <w:pPr>
        <w:numPr>
          <w:ilvl w:val="0"/>
          <w:numId w:val="11"/>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Não serão aceitos documentos cujas datas estejam ilegíveis ou rasuradas.</w:t>
      </w:r>
    </w:p>
    <w:p>
      <w:pPr>
        <w:overflowPunct w:val="0"/>
        <w:autoSpaceDE w:val="0"/>
        <w:autoSpaceDN w:val="0"/>
        <w:adjustRightInd w:val="0"/>
        <w:spacing w:after="0" w:line="240" w:lineRule="auto"/>
        <w:ind w:left="709" w:right="-1"/>
        <w:textAlignment w:val="baseline"/>
        <w:rPr>
          <w:rFonts w:eastAsia="Times New Roman"/>
          <w:b/>
          <w:sz w:val="24"/>
          <w:szCs w:val="24"/>
          <w:lang w:eastAsia="pt-BR"/>
        </w:rPr>
      </w:pPr>
    </w:p>
    <w:p>
      <w:pPr>
        <w:keepNext/>
        <w:keepLines/>
        <w:widowControl w:val="0"/>
        <w:autoSpaceDN w:val="0"/>
        <w:spacing w:before="20" w:after="0" w:line="240" w:lineRule="auto"/>
        <w:jc w:val="both"/>
        <w:textAlignment w:val="baseline"/>
        <w:rPr>
          <w:rFonts w:eastAsia="Times New Roman"/>
          <w:b/>
          <w:sz w:val="24"/>
          <w:szCs w:val="24"/>
        </w:rPr>
      </w:pPr>
      <w:r>
        <w:rPr>
          <w:rFonts w:eastAsia="Times New Roman"/>
          <w:b/>
          <w:sz w:val="24"/>
          <w:szCs w:val="24"/>
        </w:rPr>
        <w:t>7</w:t>
      </w:r>
      <w:r>
        <w:rPr>
          <w:rFonts w:eastAsia="Times New Roman"/>
          <w:b/>
          <w:sz w:val="24"/>
          <w:szCs w:val="24"/>
        </w:rPr>
        <w:tab/>
      </w:r>
      <w:r>
        <w:rPr>
          <w:rFonts w:eastAsia="Times New Roman"/>
          <w:b/>
          <w:sz w:val="24"/>
          <w:szCs w:val="24"/>
        </w:rPr>
        <w:t>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w:t>
      </w:r>
      <w:r>
        <w:rPr>
          <w:rFonts w:eastAsia="Times New Roman"/>
          <w:sz w:val="24"/>
          <w:szCs w:val="24"/>
          <w:lang w:eastAsia="pt-BR"/>
        </w:rPr>
        <w:tab/>
      </w:r>
      <w:r>
        <w:rPr>
          <w:rFonts w:eastAsia="Times New Roman"/>
          <w:sz w:val="24"/>
          <w:szCs w:val="24"/>
          <w:lang w:eastAsia="pt-BR"/>
        </w:rPr>
        <w:t xml:space="preserve">A proposta contida no Envelope nº 2 – </w:t>
      </w:r>
      <w:r>
        <w:rPr>
          <w:rFonts w:eastAsia="Times New Roman"/>
          <w:b/>
          <w:sz w:val="24"/>
          <w:szCs w:val="24"/>
          <w:lang w:eastAsia="pt-BR"/>
        </w:rPr>
        <w:t>Proposta de Preços</w:t>
      </w:r>
      <w:r>
        <w:rPr>
          <w:rFonts w:eastAsia="Times New Roman"/>
          <w:sz w:val="24"/>
          <w:szCs w:val="24"/>
          <w:lang w:eastAsia="pt-BR"/>
        </w:rPr>
        <w:t xml:space="preserve"> deverá ser apresentada na forma e requisitos indicados a seguir:</w:t>
      </w: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7.1.1</w:t>
      </w:r>
      <w:r>
        <w:rPr>
          <w:rFonts w:eastAsia="Times New Roman"/>
          <w:sz w:val="24"/>
          <w:szCs w:val="24"/>
          <w:lang w:eastAsia="pt-BR"/>
        </w:rPr>
        <w:tab/>
      </w:r>
      <w:r>
        <w:rPr>
          <w:rFonts w:eastAsia="Times New Roman"/>
          <w:sz w:val="24"/>
          <w:szCs w:val="24"/>
          <w:lang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7.2</w:t>
      </w:r>
      <w:r>
        <w:rPr>
          <w:rFonts w:eastAsia="Times New Roman"/>
          <w:sz w:val="24"/>
          <w:szCs w:val="24"/>
          <w:lang w:eastAsia="pt-BR"/>
        </w:rPr>
        <w:tab/>
      </w:r>
      <w:r>
        <w:rPr>
          <w:rFonts w:eastAsia="Times New Roman"/>
          <w:sz w:val="24"/>
          <w:szCs w:val="24"/>
          <w:lang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val="0"/>
        <w:autoSpaceDE w:val="0"/>
        <w:autoSpaceDN w:val="0"/>
        <w:adjustRightInd w:val="0"/>
        <w:spacing w:after="0" w:line="240" w:lineRule="auto"/>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7.3</w:t>
      </w:r>
      <w:r>
        <w:rPr>
          <w:rFonts w:eastAsia="Times New Roman"/>
          <w:iCs/>
          <w:sz w:val="24"/>
          <w:szCs w:val="24"/>
          <w:lang w:eastAsia="pt-BR"/>
        </w:rPr>
        <w:tab/>
      </w:r>
      <w:r>
        <w:rPr>
          <w:rFonts w:eastAsia="Times New Roman"/>
          <w:iCs/>
          <w:sz w:val="24"/>
          <w:szCs w:val="24"/>
          <w:lang w:eastAsia="pt-BR"/>
        </w:rPr>
        <w:t xml:space="preserve">O valor máximo estimado para a execução total do objeto deste Edital é de </w:t>
      </w:r>
      <w:r>
        <w:rPr>
          <w:rFonts w:eastAsia="Times New Roman"/>
          <w:b/>
          <w:bCs/>
          <w:iCs/>
          <w:sz w:val="24"/>
          <w:szCs w:val="24"/>
          <w:lang w:eastAsia="pt-BR"/>
        </w:rPr>
        <w:t>R$ 480.000,00 (quatrocentos e oitenta mil reais).</w:t>
      </w:r>
    </w:p>
    <w:p>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120"/>
          <w:tab w:val="left" w:pos="240"/>
          <w:tab w:val="left" w:pos="480"/>
        </w:tabs>
        <w:overflowPunct w:val="0"/>
        <w:autoSpaceDE w:val="0"/>
        <w:autoSpaceDN w:val="0"/>
        <w:adjustRightInd w:val="0"/>
        <w:spacing w:after="0" w:line="240" w:lineRule="auto"/>
        <w:ind w:right="-1"/>
        <w:jc w:val="both"/>
        <w:textAlignment w:val="baseline"/>
        <w:rPr>
          <w:rFonts w:eastAsia="Times New Roman"/>
          <w:iCs/>
          <w:color w:val="FF0000"/>
          <w:sz w:val="24"/>
          <w:szCs w:val="24"/>
          <w:lang w:eastAsia="pt-BR"/>
        </w:rPr>
      </w:pPr>
    </w:p>
    <w:p>
      <w:pPr>
        <w:keepNext/>
        <w:keepLines/>
        <w:widowControl w:val="0"/>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8</w:t>
      </w:r>
      <w:r>
        <w:rPr>
          <w:rFonts w:eastAsia="Times New Roman"/>
          <w:b/>
          <w:sz w:val="24"/>
          <w:szCs w:val="24"/>
        </w:rPr>
        <w:tab/>
      </w:r>
      <w:r>
        <w:rPr>
          <w:rFonts w:eastAsia="Times New Roman"/>
          <w:b/>
          <w:sz w:val="24"/>
          <w:szCs w:val="24"/>
        </w:rPr>
        <w:t>PROCESSO DE JULGAMENTO DA LICITAÇÃO</w:t>
      </w:r>
    </w:p>
    <w:p>
      <w:pPr>
        <w:overflowPunct w:val="0"/>
        <w:autoSpaceDE w:val="0"/>
        <w:autoSpaceDN w:val="0"/>
        <w:adjustRightInd w:val="0"/>
        <w:spacing w:after="0" w:line="240" w:lineRule="auto"/>
        <w:ind w:right="-1"/>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8.1</w:t>
      </w:r>
      <w:r>
        <w:rPr>
          <w:rFonts w:eastAsia="Times New Roman"/>
          <w:iCs/>
          <w:sz w:val="24"/>
          <w:szCs w:val="24"/>
          <w:lang w:eastAsia="pt-BR"/>
        </w:rPr>
        <w:tab/>
      </w:r>
      <w:r>
        <w:rPr>
          <w:rFonts w:eastAsia="Times New Roman"/>
          <w:iCs/>
          <w:sz w:val="24"/>
          <w:szCs w:val="24"/>
          <w:lang w:eastAsia="pt-BR"/>
        </w:rPr>
        <w:t>No local, dia e hora estabelecidos neste Edital, a Comissão Permanente de Licitação receberá os envelopes “01” e “02” na Sala de Licitações da Prefeitura Municipal de Naviraí/MS.</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8.2</w:t>
      </w:r>
      <w:r>
        <w:rPr>
          <w:rFonts w:eastAsia="Times New Roman"/>
          <w:iCs/>
          <w:sz w:val="24"/>
          <w:szCs w:val="24"/>
          <w:lang w:eastAsia="pt-BR"/>
        </w:rPr>
        <w:tab/>
      </w:r>
      <w:r>
        <w:rPr>
          <w:rFonts w:eastAsia="Times New Roman"/>
          <w:iCs/>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8.3</w:t>
      </w:r>
      <w:r>
        <w:rPr>
          <w:rFonts w:eastAsia="Times New Roman"/>
          <w:iCs/>
          <w:sz w:val="24"/>
          <w:szCs w:val="24"/>
          <w:lang w:eastAsia="pt-BR"/>
        </w:rPr>
        <w:tab/>
      </w:r>
      <w:r>
        <w:rPr>
          <w:rFonts w:eastAsia="Times New Roman"/>
          <w:iCs/>
          <w:sz w:val="24"/>
          <w:szCs w:val="24"/>
          <w:lang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8.4</w:t>
      </w:r>
      <w:r>
        <w:rPr>
          <w:rFonts w:eastAsia="Times New Roman"/>
          <w:iCs/>
          <w:sz w:val="24"/>
          <w:szCs w:val="24"/>
          <w:lang w:eastAsia="pt-BR"/>
        </w:rPr>
        <w:tab/>
      </w:r>
      <w:r>
        <w:rPr>
          <w:rFonts w:eastAsia="Times New Roman"/>
          <w:iCs/>
          <w:sz w:val="24"/>
          <w:szCs w:val="24"/>
          <w:lang w:eastAsia="pt-BR"/>
        </w:rPr>
        <w:t>À Comissão Permanente de Licitação Competirá:</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Examinar os documentos apresentados pelas empresas concorrentes e oferecê-los a rubrica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Inabilitar ou desqualificar qualquer licitante que deixar de atender quaisquer exigências referentes a documentação solicitada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Verificar se as propostas atendem as condições estabelecidas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Rubricar as propostas, lê-las e oferecê-las a rubrica dos representantes dos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Fazer constar dos envelopes contendo a propostas, rubrica dos concorrentes e da Comissão Permanente de Licitação;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Lavrar Ata circunstanciada das reuniões, ler, assinar e colher as assinaturas dos representantes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8.5</w:t>
      </w:r>
      <w:r>
        <w:rPr>
          <w:rFonts w:eastAsia="Times New Roman"/>
          <w:b/>
          <w:sz w:val="24"/>
          <w:szCs w:val="24"/>
          <w:lang w:eastAsia="pt-BR"/>
        </w:rPr>
        <w:tab/>
      </w:r>
      <w:r>
        <w:rPr>
          <w:rFonts w:eastAsia="Times New Roman"/>
          <w:b/>
          <w:sz w:val="24"/>
          <w:szCs w:val="24"/>
          <w:lang w:eastAsia="pt-BR"/>
        </w:rPr>
        <w:t>CRITÉRIOS DE JULGAMENTO: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8.5.1</w:t>
      </w:r>
      <w:r>
        <w:rPr>
          <w:rFonts w:eastAsia="Times New Roman"/>
          <w:sz w:val="24"/>
          <w:szCs w:val="24"/>
          <w:lang w:eastAsia="pt-BR"/>
        </w:rPr>
        <w:tab/>
      </w:r>
      <w:r>
        <w:rPr>
          <w:rFonts w:eastAsia="Times New Roman"/>
          <w:sz w:val="24"/>
          <w:szCs w:val="24"/>
          <w:lang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8.6</w:t>
      </w:r>
      <w:r>
        <w:rPr>
          <w:rFonts w:eastAsia="Times New Roman"/>
          <w:b/>
          <w:sz w:val="24"/>
          <w:szCs w:val="24"/>
          <w:lang w:eastAsia="pt-BR"/>
        </w:rPr>
        <w:tab/>
      </w:r>
      <w:r>
        <w:rPr>
          <w:rFonts w:eastAsia="Times New Roman"/>
          <w:b/>
          <w:sz w:val="24"/>
          <w:szCs w:val="24"/>
          <w:lang w:eastAsia="pt-BR"/>
        </w:rPr>
        <w:t>CRITÉRIO DE DESEMPATE:</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8.6.1</w:t>
      </w:r>
      <w:r>
        <w:rPr>
          <w:rFonts w:eastAsia="Times New Roman"/>
          <w:sz w:val="24"/>
          <w:szCs w:val="24"/>
          <w:lang w:eastAsia="pt-BR"/>
        </w:rPr>
        <w:tab/>
      </w:r>
      <w:r>
        <w:rPr>
          <w:rFonts w:eastAsia="Times New Roman"/>
          <w:sz w:val="24"/>
          <w:szCs w:val="24"/>
          <w:lang w:eastAsia="pt-BR"/>
        </w:rPr>
        <w:t>Para a aplicação dos Art. 44 e 45 da Lei Complementar nº 123/06, será observado: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numPr>
          <w:ilvl w:val="0"/>
          <w:numId w:val="13"/>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 xml:space="preserve">A microempresa ou empresa de pequeno porte mais bem classificada terá a oportunidade de apresentar nova proposta de preços no </w:t>
      </w:r>
      <w:r>
        <w:rPr>
          <w:rFonts w:eastAsia="Times New Roman"/>
          <w:b/>
          <w:sz w:val="24"/>
          <w:szCs w:val="24"/>
          <w:lang w:eastAsia="pt-BR"/>
        </w:rPr>
        <w:t>prazo máximo de 24 (vinte e quatro) horas</w:t>
      </w:r>
      <w:r>
        <w:rPr>
          <w:rFonts w:eastAsia="Times New Roman"/>
          <w:sz w:val="24"/>
          <w:szCs w:val="24"/>
          <w:lang w:eastAsia="pt-BR"/>
        </w:rPr>
        <w:t xml:space="preserve"> após a notificação por parte do Presidente da CPL, sob pena de preclusão;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ind w:left="720"/>
        <w:contextualSpacing/>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8.7</w:t>
      </w:r>
      <w:r>
        <w:rPr>
          <w:rFonts w:eastAsia="Times New Roman"/>
          <w:sz w:val="24"/>
          <w:szCs w:val="24"/>
          <w:lang w:eastAsia="pt-BR"/>
        </w:rPr>
        <w:tab/>
      </w:r>
      <w:r>
        <w:rPr>
          <w:rFonts w:eastAsia="Times New Roman"/>
          <w:sz w:val="24"/>
          <w:szCs w:val="24"/>
          <w:lang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overflowPunct w:val="0"/>
        <w:autoSpaceDE w:val="0"/>
        <w:autoSpaceDN w:val="0"/>
        <w:adjustRightInd w:val="0"/>
        <w:spacing w:after="0" w:line="240" w:lineRule="auto"/>
        <w:ind w:left="142"/>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9</w:t>
      </w:r>
      <w:r>
        <w:rPr>
          <w:rFonts w:eastAsia="Times New Roman"/>
          <w:b/>
          <w:sz w:val="24"/>
          <w:szCs w:val="24"/>
        </w:rPr>
        <w:tab/>
      </w:r>
      <w:r>
        <w:rPr>
          <w:rFonts w:eastAsia="Times New Roman"/>
          <w:b/>
          <w:sz w:val="24"/>
          <w:szCs w:val="24"/>
        </w:rPr>
        <w:t>PRAZOS DE INÍCIO E EXECUÇÃO DE SERVIÇOS</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ind w:left="567" w:right="-1" w:hanging="567"/>
        <w:jc w:val="both"/>
        <w:rPr>
          <w:sz w:val="24"/>
          <w:szCs w:val="24"/>
        </w:rPr>
      </w:pPr>
      <w:r>
        <w:rPr>
          <w:sz w:val="24"/>
          <w:szCs w:val="24"/>
        </w:rPr>
        <w:t>9.1</w:t>
      </w:r>
      <w:r>
        <w:rPr>
          <w:sz w:val="24"/>
          <w:szCs w:val="24"/>
        </w:rPr>
        <w:tab/>
      </w:r>
      <w:r>
        <w:rPr>
          <w:sz w:val="24"/>
          <w:szCs w:val="24"/>
        </w:rPr>
        <w:t xml:space="preserve">O prazo para a </w:t>
      </w:r>
      <w:r>
        <w:rPr>
          <w:b/>
          <w:sz w:val="24"/>
          <w:szCs w:val="24"/>
          <w:u w:val="single"/>
        </w:rPr>
        <w:t>realização</w:t>
      </w:r>
      <w:r>
        <w:rPr>
          <w:b/>
          <w:sz w:val="24"/>
          <w:szCs w:val="24"/>
        </w:rPr>
        <w:t xml:space="preserve"> </w:t>
      </w:r>
      <w:r>
        <w:rPr>
          <w:sz w:val="24"/>
          <w:szCs w:val="24"/>
        </w:rPr>
        <w:t xml:space="preserve">do objeto desta licitação será de </w:t>
      </w:r>
      <w:r>
        <w:rPr>
          <w:b/>
          <w:sz w:val="24"/>
          <w:szCs w:val="24"/>
        </w:rPr>
        <w:t>12 (doze) meses</w:t>
      </w:r>
      <w:r>
        <w:rPr>
          <w:sz w:val="24"/>
          <w:szCs w:val="24"/>
        </w:rPr>
        <w:t xml:space="preserve"> contados da data de expedição da Ordem de Serviços, podendo ser prorrogado por igual período, desde que haja interesse entre as partes e nos termos da Lei nº. 8.666/93;</w:t>
      </w:r>
    </w:p>
    <w:p>
      <w:pPr>
        <w:ind w:left="567" w:right="-1" w:hanging="567"/>
        <w:jc w:val="both"/>
        <w:rPr>
          <w:sz w:val="24"/>
          <w:szCs w:val="24"/>
        </w:rPr>
      </w:pPr>
      <w:r>
        <w:rPr>
          <w:iCs/>
          <w:sz w:val="24"/>
          <w:szCs w:val="24"/>
        </w:rPr>
        <w:t>9.2</w:t>
      </w:r>
      <w:r>
        <w:rPr>
          <w:iCs/>
          <w:sz w:val="24"/>
          <w:szCs w:val="24"/>
        </w:rPr>
        <w:tab/>
      </w:r>
      <w:r>
        <w:rPr>
          <w:iCs/>
          <w:sz w:val="24"/>
          <w:szCs w:val="24"/>
        </w:rPr>
        <w:t xml:space="preserve">O prazo de </w:t>
      </w:r>
      <w:r>
        <w:rPr>
          <w:b/>
          <w:iCs/>
          <w:sz w:val="24"/>
          <w:szCs w:val="24"/>
          <w:u w:val="single"/>
        </w:rPr>
        <w:t>vigência do Contrato</w:t>
      </w:r>
      <w:r>
        <w:rPr>
          <w:iCs/>
          <w:sz w:val="24"/>
          <w:szCs w:val="24"/>
        </w:rPr>
        <w:t xml:space="preserve"> a ser firmado com a adjudicatária será de </w:t>
      </w:r>
      <w:r>
        <w:rPr>
          <w:b/>
          <w:iCs/>
          <w:sz w:val="24"/>
          <w:szCs w:val="24"/>
        </w:rPr>
        <w:t xml:space="preserve">12 </w:t>
      </w:r>
      <w:r>
        <w:rPr>
          <w:b/>
          <w:sz w:val="24"/>
          <w:szCs w:val="24"/>
        </w:rPr>
        <w:t xml:space="preserve">(doze) </w:t>
      </w:r>
      <w:r>
        <w:rPr>
          <w:sz w:val="24"/>
          <w:szCs w:val="24"/>
        </w:rPr>
        <w:t>meses</w:t>
      </w:r>
      <w:r>
        <w:rPr>
          <w:iCs/>
          <w:sz w:val="24"/>
          <w:szCs w:val="24"/>
        </w:rPr>
        <w:t xml:space="preserve"> a contar da data da sua assinatura, podendo ser prorrogado por igual período, desde que haja interesse entre as partes e nos termos da Lei nº. 8.666/93;</w:t>
      </w:r>
    </w:p>
    <w:p>
      <w:pPr>
        <w:overflowPunct w:val="0"/>
        <w:autoSpaceDE w:val="0"/>
        <w:autoSpaceDN w:val="0"/>
        <w:adjustRightInd w:val="0"/>
        <w:spacing w:after="0" w:line="240" w:lineRule="auto"/>
        <w:ind w:left="567" w:right="-1" w:hanging="567"/>
        <w:jc w:val="both"/>
        <w:textAlignment w:val="baseline"/>
        <w:rPr>
          <w:iCs/>
          <w:sz w:val="24"/>
          <w:szCs w:val="24"/>
        </w:rPr>
      </w:pPr>
      <w:r>
        <w:rPr>
          <w:iCs/>
          <w:sz w:val="24"/>
          <w:szCs w:val="24"/>
        </w:rPr>
        <w:t>9.3</w:t>
      </w:r>
      <w:r>
        <w:rPr>
          <w:iCs/>
          <w:sz w:val="24"/>
          <w:szCs w:val="24"/>
        </w:rPr>
        <w:tab/>
      </w:r>
      <w:r>
        <w:rPr>
          <w:iCs/>
          <w:sz w:val="24"/>
          <w:szCs w:val="24"/>
        </w:rPr>
        <w:t xml:space="preserve">Os serviços só poderão ser iniciados após o recebimento da </w:t>
      </w:r>
      <w:r>
        <w:rPr>
          <w:sz w:val="24"/>
          <w:szCs w:val="24"/>
        </w:rPr>
        <w:t xml:space="preserve">Ordem de Serviços </w:t>
      </w:r>
      <w:r>
        <w:rPr>
          <w:iCs/>
          <w:sz w:val="24"/>
          <w:szCs w:val="24"/>
        </w:rPr>
        <w:t>emitida pela Gerência de Obras.</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iCs/>
          <w:sz w:val="24"/>
          <w:szCs w:val="24"/>
        </w:rPr>
        <w:t xml:space="preserve">a) A </w:t>
      </w:r>
      <w:r>
        <w:rPr>
          <w:rFonts w:hint="default"/>
          <w:iCs/>
          <w:sz w:val="24"/>
          <w:szCs w:val="24"/>
          <w:lang w:val="pt-BR"/>
        </w:rPr>
        <w:t>contratada obriga-se a iniciar a execução dos serviços objeto deste instrumento no prazo máximo de 30 (trinta) dias após a ordem de serviço da assinatura do instrumento contratual.</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rFonts w:hint="default"/>
          <w:iCs/>
          <w:sz w:val="24"/>
          <w:szCs w:val="24"/>
          <w:lang w:val="pt-BR"/>
        </w:rPr>
        <w:t>b) A contratada se obriga a responder os questionamentos recebidos pela Comissão de Licitação, impugnações e/ou recursos dentro dos prazos estabelecidos na lei nº. 8.666/93.</w:t>
      </w:r>
    </w:p>
    <w:p>
      <w:pPr>
        <w:overflowPunct w:val="0"/>
        <w:autoSpaceDE w:val="0"/>
        <w:autoSpaceDN w:val="0"/>
        <w:adjustRightInd w:val="0"/>
        <w:spacing w:after="0" w:line="240" w:lineRule="auto"/>
        <w:ind w:right="-1"/>
        <w:jc w:val="both"/>
        <w:textAlignment w:val="baseline"/>
        <w:rPr>
          <w:rFonts w:hint="default"/>
          <w:iCs/>
          <w:sz w:val="24"/>
          <w:szCs w:val="24"/>
          <w:lang w:val="pt-BR"/>
        </w:rPr>
      </w:pPr>
      <w:r>
        <w:rPr>
          <w:rFonts w:hint="default"/>
          <w:iCs/>
          <w:sz w:val="24"/>
          <w:szCs w:val="24"/>
          <w:lang w:val="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10</w:t>
      </w:r>
      <w:r>
        <w:rPr>
          <w:rFonts w:eastAsia="Times New Roman"/>
          <w:b/>
          <w:sz w:val="24"/>
          <w:szCs w:val="24"/>
        </w:rPr>
        <w:tab/>
      </w:r>
      <w:r>
        <w:rPr>
          <w:rFonts w:eastAsia="Times New Roman"/>
          <w:b/>
          <w:sz w:val="24"/>
          <w:szCs w:val="24"/>
        </w:rPr>
        <w:t>NATUREZA E FORMA DE EXECUÇÃO DOS SERVIÇOS</w:t>
      </w:r>
    </w:p>
    <w:p>
      <w:pPr>
        <w:overflowPunct w:val="0"/>
        <w:autoSpaceDE w:val="0"/>
        <w:autoSpaceDN w:val="0"/>
        <w:adjustRightInd w:val="0"/>
        <w:spacing w:after="0" w:line="240" w:lineRule="auto"/>
        <w:ind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10.1</w:t>
      </w:r>
      <w:r>
        <w:rPr>
          <w:rFonts w:eastAsia="Times New Roman"/>
          <w:iCs/>
          <w:sz w:val="24"/>
          <w:szCs w:val="24"/>
          <w:lang w:eastAsia="pt-BR"/>
        </w:rPr>
        <w:tab/>
      </w:r>
      <w:r>
        <w:rPr>
          <w:rFonts w:eastAsia="Times New Roman"/>
          <w:iCs/>
          <w:sz w:val="24"/>
          <w:szCs w:val="24"/>
          <w:lang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10.2</w:t>
      </w:r>
      <w:r>
        <w:rPr>
          <w:rFonts w:eastAsia="Times New Roman"/>
          <w:iCs/>
          <w:sz w:val="24"/>
          <w:szCs w:val="24"/>
          <w:lang w:eastAsia="pt-BR"/>
        </w:rPr>
        <w:tab/>
      </w:r>
      <w:r>
        <w:rPr>
          <w:rFonts w:eastAsia="Times New Roman"/>
          <w:iCs/>
          <w:sz w:val="24"/>
          <w:szCs w:val="24"/>
          <w:lang w:eastAsia="pt-BR"/>
        </w:rPr>
        <w:t xml:space="preserve">Todo pessoal da contratada deverá possuir habilitação e experiência para executar adequadamente os serviços que lhes forem atribuídos.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10.3</w:t>
      </w:r>
      <w:r>
        <w:rPr>
          <w:rFonts w:eastAsia="Times New Roman"/>
          <w:iCs/>
          <w:sz w:val="24"/>
          <w:szCs w:val="24"/>
          <w:lang w:eastAsia="pt-BR"/>
        </w:rPr>
        <w:tab/>
      </w:r>
      <w:r>
        <w:rPr>
          <w:rFonts w:eastAsia="Times New Roman"/>
          <w:iCs/>
          <w:sz w:val="24"/>
          <w:szCs w:val="24"/>
          <w:lang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10.4</w:t>
      </w:r>
      <w:r>
        <w:rPr>
          <w:rFonts w:eastAsia="Times New Roman"/>
          <w:iCs/>
          <w:sz w:val="24"/>
          <w:szCs w:val="24"/>
          <w:lang w:eastAsia="pt-BR"/>
        </w:rPr>
        <w:tab/>
      </w:r>
      <w:r>
        <w:rPr>
          <w:rFonts w:eastAsia="Times New Roman"/>
          <w:iCs/>
          <w:sz w:val="24"/>
          <w:szCs w:val="24"/>
          <w:lang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10.5</w:t>
      </w:r>
      <w:r>
        <w:rPr>
          <w:rFonts w:eastAsia="Times New Roman"/>
          <w:iCs/>
          <w:sz w:val="24"/>
          <w:szCs w:val="24"/>
          <w:lang w:eastAsia="pt-BR"/>
        </w:rPr>
        <w:tab/>
      </w:r>
      <w:r>
        <w:rPr>
          <w:iCs/>
          <w:sz w:val="24"/>
          <w:szCs w:val="24"/>
        </w:rPr>
        <w:t xml:space="preserve">Os serviços serão considerados concluídos após o término total de todas as exigência do Termo de Referência </w:t>
      </w:r>
      <w:r>
        <w:rPr>
          <w:b/>
          <w:iCs/>
          <w:color w:val="FF0000"/>
          <w:sz w:val="24"/>
          <w:szCs w:val="24"/>
        </w:rPr>
        <w:t>( ANEXO I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4"/>
        </w:numPr>
        <w:spacing w:before="20"/>
        <w:jc w:val="both"/>
        <w:rPr>
          <w:b/>
          <w:sz w:val="24"/>
          <w:szCs w:val="24"/>
        </w:rPr>
      </w:pPr>
      <w:r>
        <w:rPr>
          <w:b/>
          <w:sz w:val="24"/>
          <w:szCs w:val="24"/>
        </w:rPr>
        <w:t xml:space="preserve"> PAGAMENTO </w:t>
      </w:r>
    </w:p>
    <w:p>
      <w:pPr>
        <w:numPr>
          <w:ilvl w:val="0"/>
          <w:numId w:val="15"/>
        </w:numPr>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r>
        <w:rPr>
          <w:iCs/>
          <w:sz w:val="24"/>
          <w:szCs w:val="24"/>
        </w:rPr>
        <w:t xml:space="preserve">  11.1 - O pagamento mensal referente à prestação de serviços de Elaboração de Projetos deverá ocorrer conforme apresentação de medição mensal.</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r>
        <w:rPr>
          <w:iCs/>
          <w:sz w:val="24"/>
          <w:szCs w:val="24"/>
        </w:rPr>
        <w:t>11.2- O pagamento mensal referente à prestação de serviço de Assessoria/Fiscalização/Consultoria/Supervisão, deverá ocorrer conforme apresentação de Relatórios mensais.</w:t>
      </w:r>
    </w:p>
    <w:p>
      <w:pPr>
        <w:tabs>
          <w:tab w:val="left" w:pos="1134"/>
        </w:tabs>
        <w:overflowPunct w:val="0"/>
        <w:autoSpaceDE w:val="0"/>
        <w:autoSpaceDN w:val="0"/>
        <w:adjustRightInd w:val="0"/>
        <w:ind w:left="1276" w:right="-1"/>
        <w:jc w:val="both"/>
        <w:textAlignment w:val="baseline"/>
        <w:rPr>
          <w:iCs/>
          <w:sz w:val="24"/>
          <w:szCs w:val="24"/>
        </w:rPr>
      </w:pPr>
    </w:p>
    <w:p>
      <w:pPr>
        <w:pStyle w:val="46"/>
        <w:numPr>
          <w:ilvl w:val="1"/>
          <w:numId w:val="16"/>
        </w:numPr>
        <w:tabs>
          <w:tab w:val="left" w:pos="1134"/>
        </w:tabs>
        <w:overflowPunct w:val="0"/>
        <w:autoSpaceDE w:val="0"/>
        <w:autoSpaceDN w:val="0"/>
        <w:adjustRightInd w:val="0"/>
        <w:spacing w:after="0" w:line="240" w:lineRule="auto"/>
        <w:ind w:right="-1"/>
        <w:jc w:val="both"/>
        <w:textAlignment w:val="baseline"/>
        <w:rPr>
          <w:rFonts w:ascii="Times New Roman" w:hAnsi="Times New Roman"/>
          <w:iCs/>
          <w:sz w:val="24"/>
          <w:szCs w:val="24"/>
        </w:rPr>
      </w:pP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iCs/>
          <w:sz w:val="24"/>
          <w:szCs w:val="24"/>
        </w:rPr>
      </w:pPr>
      <w:r>
        <w:rPr>
          <w:iCs/>
          <w:sz w:val="24"/>
          <w:szCs w:val="24"/>
        </w:rPr>
        <w:t xml:space="preserve">        11.4 -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overflowPunct w:val="0"/>
        <w:autoSpaceDE w:val="0"/>
        <w:autoSpaceDN w:val="0"/>
        <w:adjustRightInd w:val="0"/>
        <w:spacing w:after="0" w:line="240" w:lineRule="auto"/>
        <w:ind w:left="709" w:right="-1" w:hanging="709"/>
        <w:jc w:val="both"/>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r>
        <w:rPr>
          <w:rFonts w:eastAsia="Times New Roman"/>
          <w:b/>
          <w:sz w:val="24"/>
          <w:szCs w:val="24"/>
        </w:rPr>
        <w:t>12</w:t>
      </w:r>
      <w:r>
        <w:rPr>
          <w:rFonts w:eastAsia="Times New Roman"/>
          <w:b/>
          <w:sz w:val="24"/>
          <w:szCs w:val="24"/>
        </w:rPr>
        <w:tab/>
      </w:r>
      <w:r>
        <w:rPr>
          <w:rFonts w:eastAsia="Times New Roman"/>
          <w:b/>
          <w:sz w:val="24"/>
          <w:szCs w:val="24"/>
        </w:rPr>
        <w:t>RECURSO ORÇAMENTÁRIO</w:t>
      </w:r>
    </w:p>
    <w:p>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12.1</w:t>
      </w:r>
      <w:r>
        <w:rPr>
          <w:rFonts w:eastAsia="Times New Roman"/>
          <w:iCs/>
          <w:sz w:val="24"/>
          <w:szCs w:val="24"/>
          <w:lang w:eastAsia="pt-BR"/>
        </w:rPr>
        <w:tab/>
      </w:r>
      <w:r>
        <w:rPr>
          <w:rFonts w:eastAsia="Times New Roman"/>
          <w:iCs/>
          <w:sz w:val="24"/>
          <w:szCs w:val="24"/>
          <w:lang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numPr>
          <w:ilvl w:val="0"/>
          <w:numId w:val="17"/>
        </w:numPr>
        <w:tabs>
          <w:tab w:val="left" w:pos="-7088"/>
        </w:tabs>
        <w:overflowPunct w:val="0"/>
        <w:autoSpaceDE w:val="0"/>
        <w:autoSpaceDN w:val="0"/>
        <w:adjustRightInd w:val="0"/>
        <w:spacing w:after="0" w:line="240" w:lineRule="auto"/>
        <w:ind w:left="993" w:right="-1" w:hanging="300"/>
        <w:jc w:val="both"/>
        <w:textAlignment w:val="baseline"/>
        <w:rPr>
          <w:rFonts w:eastAsia="Times New Roman"/>
          <w:b/>
          <w:iCs/>
          <w:sz w:val="24"/>
          <w:szCs w:val="24"/>
          <w:lang w:eastAsia="pt-BR"/>
        </w:rPr>
      </w:pPr>
      <w:r>
        <w:rPr>
          <w:rFonts w:eastAsia="Times New Roman"/>
          <w:b/>
          <w:iCs/>
          <w:sz w:val="24"/>
          <w:szCs w:val="24"/>
          <w:lang w:eastAsia="pt-BR"/>
        </w:rPr>
        <w:t>GERÊNCIA DE OBRAS – DOTAÇÃO ORÇAMENTÁRIA: 01.04.00.04.122.0401.008-33.90.39.99.00.00 (R 11187).</w:t>
      </w:r>
    </w:p>
    <w:p>
      <w:pPr>
        <w:overflowPunct w:val="0"/>
        <w:autoSpaceDE w:val="0"/>
        <w:autoSpaceDN w:val="0"/>
        <w:adjustRightInd w:val="0"/>
        <w:spacing w:after="0" w:line="240" w:lineRule="auto"/>
        <w:ind w:left="993" w:right="-1"/>
        <w:jc w:val="both"/>
        <w:textAlignment w:val="baseline"/>
        <w:rPr>
          <w:rFonts w:eastAsia="Times New Roman"/>
          <w:b/>
          <w:iCs/>
          <w:sz w:val="24"/>
          <w:szCs w:val="24"/>
          <w:lang w:eastAsia="pt-BR"/>
        </w:rPr>
      </w:pPr>
    </w:p>
    <w:p>
      <w:pPr>
        <w:keepNext/>
        <w:keepLines/>
        <w:widowControl w:val="0"/>
        <w:tabs>
          <w:tab w:val="left" w:pos="-7088"/>
        </w:tabs>
        <w:spacing w:before="20"/>
        <w:ind w:left="567" w:hanging="567"/>
        <w:contextualSpacing/>
        <w:jc w:val="both"/>
        <w:rPr>
          <w:b/>
          <w:sz w:val="24"/>
          <w:szCs w:val="24"/>
        </w:rPr>
      </w:pPr>
      <w:r>
        <w:rPr>
          <w:b/>
          <w:sz w:val="24"/>
          <w:szCs w:val="24"/>
        </w:rPr>
        <w:t>13</w:t>
      </w:r>
      <w:r>
        <w:rPr>
          <w:b/>
          <w:sz w:val="24"/>
          <w:szCs w:val="24"/>
        </w:rPr>
        <w:tab/>
      </w:r>
      <w:r>
        <w:rPr>
          <w:b/>
          <w:sz w:val="24"/>
          <w:szCs w:val="24"/>
        </w:rPr>
        <w:t>PREÇOS E DO REAJUSTE</w:t>
      </w:r>
    </w:p>
    <w:p>
      <w:pPr>
        <w:keepNext/>
        <w:keepLines/>
        <w:widowControl w:val="0"/>
        <w:tabs>
          <w:tab w:val="left" w:pos="-7088"/>
        </w:tabs>
        <w:spacing w:before="20"/>
        <w:ind w:left="567" w:hanging="567"/>
        <w:contextualSpacing/>
        <w:jc w:val="both"/>
        <w:rPr>
          <w:b/>
          <w:sz w:val="24"/>
          <w:szCs w:val="24"/>
        </w:rPr>
      </w:pPr>
    </w:p>
    <w:p>
      <w:pPr>
        <w:autoSpaceDE w:val="0"/>
        <w:autoSpaceDN w:val="0"/>
        <w:adjustRightInd w:val="0"/>
        <w:spacing w:after="0" w:line="240" w:lineRule="auto"/>
        <w:jc w:val="both"/>
        <w:rPr>
          <w:iCs/>
          <w:sz w:val="24"/>
          <w:szCs w:val="24"/>
        </w:rPr>
      </w:pPr>
      <w:r>
        <w:rPr>
          <w:iCs/>
          <w:sz w:val="24"/>
          <w:szCs w:val="24"/>
        </w:rPr>
        <w:t>13.1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o serviço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13.2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ind w:left="567" w:hanging="567"/>
        <w:contextualSpacing/>
        <w:jc w:val="both"/>
        <w:rPr>
          <w:b/>
          <w:sz w:val="24"/>
          <w:szCs w:val="24"/>
        </w:rPr>
      </w:pPr>
      <w:r>
        <w:rPr>
          <w:b/>
          <w:sz w:val="24"/>
          <w:szCs w:val="24"/>
        </w:rPr>
        <w:t>14</w:t>
      </w:r>
      <w:r>
        <w:rPr>
          <w:b/>
          <w:sz w:val="24"/>
          <w:szCs w:val="24"/>
        </w:rPr>
        <w:tab/>
      </w:r>
      <w:r>
        <w:rPr>
          <w:b/>
          <w:sz w:val="24"/>
          <w:szCs w:val="24"/>
        </w:rPr>
        <w:t>DO CONTRATO</w:t>
      </w:r>
    </w:p>
    <w:p>
      <w:pPr>
        <w:keepNext/>
        <w:keepLines/>
        <w:widowControl w:val="0"/>
        <w:tabs>
          <w:tab w:val="left" w:pos="-7088"/>
        </w:tabs>
        <w:ind w:left="567" w:hanging="567"/>
        <w:contextualSpacing/>
        <w:jc w:val="both"/>
        <w:rPr>
          <w:b/>
          <w:sz w:val="24"/>
          <w:szCs w:val="24"/>
        </w:rPr>
      </w:pPr>
    </w:p>
    <w:p>
      <w:pPr>
        <w:keepNext/>
        <w:keepLines/>
        <w:widowControl w:val="0"/>
        <w:tabs>
          <w:tab w:val="left" w:pos="-7088"/>
        </w:tabs>
        <w:ind w:left="567" w:hanging="567"/>
        <w:contextualSpacing/>
        <w:jc w:val="both"/>
        <w:rPr>
          <w:iCs/>
          <w:sz w:val="24"/>
          <w:szCs w:val="24"/>
        </w:rPr>
      </w:pPr>
      <w:r>
        <w:rPr>
          <w:bCs/>
          <w:iCs/>
          <w:sz w:val="24"/>
          <w:szCs w:val="24"/>
        </w:rPr>
        <w:t xml:space="preserve"> 14.1 - </w:t>
      </w:r>
      <w:r>
        <w:rPr>
          <w:iCs/>
          <w:sz w:val="24"/>
          <w:szCs w:val="24"/>
        </w:rPr>
        <w:t>No ato da assinatura do Contrato deverá ser apresentado curriculum da equipe técnica pertencente ao quadro técnico da licitante conforme CERTIDÃO PESSOAL JURÍDICA junto ao Conselho Regional de Engenharia e Agronomia – CREA e Conselho de Arquitetura e Urbanismo – CAU, onde, no mínimo um membro da equipe técnica acima elencados deverão ter capacitação comprovada através da plataforma BIM (Building Information Modelling) e PLATAFORMA SICONV/PLATAFORMA + BRASIL.</w:t>
      </w:r>
    </w:p>
    <w:p>
      <w:pPr>
        <w:keepNext/>
        <w:keepLines/>
        <w:widowControl w:val="0"/>
        <w:tabs>
          <w:tab w:val="left" w:pos="-7088"/>
        </w:tabs>
        <w:ind w:left="567" w:hanging="567"/>
        <w:contextualSpacing/>
        <w:jc w:val="both"/>
        <w:rPr>
          <w:iCs/>
          <w:sz w:val="24"/>
          <w:szCs w:val="24"/>
        </w:rPr>
      </w:pPr>
    </w:p>
    <w:p>
      <w:pPr>
        <w:widowControl w:val="0"/>
        <w:tabs>
          <w:tab w:val="left" w:pos="-7088"/>
        </w:tabs>
        <w:ind w:left="567" w:right="-1" w:hanging="567"/>
        <w:jc w:val="both"/>
        <w:rPr>
          <w:iCs/>
          <w:vanish/>
          <w:sz w:val="24"/>
          <w:szCs w:val="24"/>
        </w:rPr>
      </w:pPr>
      <w:r>
        <w:rPr>
          <w:bCs/>
          <w:iCs/>
          <w:sz w:val="24"/>
          <w:szCs w:val="24"/>
        </w:rPr>
        <w:t>14.2</w:t>
      </w:r>
      <w:r>
        <w:rPr>
          <w:bCs/>
          <w:iCs/>
          <w:sz w:val="24"/>
          <w:szCs w:val="24"/>
        </w:rPr>
        <w:tab/>
      </w:r>
    </w:p>
    <w:p>
      <w:pPr>
        <w:widowControl w:val="0"/>
        <w:tabs>
          <w:tab w:val="left" w:pos="-7088"/>
        </w:tabs>
        <w:ind w:left="567" w:right="-1" w:hanging="567"/>
        <w:jc w:val="both"/>
        <w:rPr>
          <w:iCs/>
          <w:sz w:val="24"/>
          <w:szCs w:val="24"/>
        </w:rPr>
      </w:pPr>
      <w:r>
        <w:rPr>
          <w:iCs/>
          <w:sz w:val="24"/>
          <w:szCs w:val="24"/>
        </w:rPr>
        <w:tab/>
      </w:r>
      <w:r>
        <w:rPr>
          <w:iCs/>
          <w:sz w:val="24"/>
          <w:szCs w:val="24"/>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s>
        <w:ind w:left="567" w:right="-1" w:hanging="567"/>
        <w:jc w:val="both"/>
        <w:rPr>
          <w:iCs/>
          <w:sz w:val="24"/>
          <w:szCs w:val="24"/>
        </w:rPr>
      </w:pPr>
      <w:r>
        <w:rPr>
          <w:iCs/>
          <w:sz w:val="24"/>
          <w:szCs w:val="24"/>
        </w:rPr>
        <w:t>14.2.1</w:t>
      </w:r>
      <w:r>
        <w:rPr>
          <w:iCs/>
          <w:sz w:val="24"/>
          <w:szCs w:val="24"/>
        </w:rPr>
        <w:tab/>
      </w:r>
      <w:r>
        <w:rPr>
          <w:iCs/>
          <w:sz w:val="24"/>
          <w:szCs w:val="24"/>
        </w:rPr>
        <w:t>A adjudicatária terá o prazo de 03 (três) dias úteis após a convocação, para assinar o contrato e para apresentar os documentos mencionados no item 15.1, ficando condicionada a assinatura do contrato a análise dos documentos pela gerência de obras.</w:t>
      </w:r>
    </w:p>
    <w:p>
      <w:pPr>
        <w:tabs>
          <w:tab w:val="left" w:pos="-7088"/>
        </w:tabs>
        <w:ind w:left="567" w:right="-1" w:hanging="567"/>
        <w:jc w:val="both"/>
        <w:rPr>
          <w:b/>
          <w:iCs/>
          <w:sz w:val="24"/>
          <w:szCs w:val="24"/>
        </w:rPr>
      </w:pPr>
    </w:p>
    <w:p>
      <w:pPr>
        <w:tabs>
          <w:tab w:val="left" w:pos="-7088"/>
          <w:tab w:val="left" w:pos="712"/>
        </w:tabs>
        <w:ind w:left="567" w:right="-1" w:hanging="567"/>
        <w:jc w:val="both"/>
        <w:rPr>
          <w:sz w:val="24"/>
          <w:szCs w:val="24"/>
        </w:rPr>
      </w:pPr>
      <w:r>
        <w:rPr>
          <w:sz w:val="24"/>
          <w:szCs w:val="24"/>
        </w:rPr>
        <w:t>14.2.2</w:t>
      </w:r>
      <w:r>
        <w:rPr>
          <w:sz w:val="24"/>
          <w:szCs w:val="24"/>
        </w:rPr>
        <w:tab/>
      </w:r>
      <w:r>
        <w:rPr>
          <w:sz w:val="24"/>
          <w:szCs w:val="24"/>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tabs>
          <w:tab w:val="left" w:pos="-7088"/>
          <w:tab w:val="left" w:pos="712"/>
        </w:tabs>
        <w:ind w:left="567" w:right="-1" w:hanging="567"/>
        <w:jc w:val="both"/>
        <w:rPr>
          <w:sz w:val="24"/>
          <w:szCs w:val="24"/>
        </w:rPr>
      </w:pPr>
      <w:r>
        <w:rPr>
          <w:sz w:val="24"/>
          <w:szCs w:val="24"/>
        </w:rPr>
        <w:t>14.3</w:t>
      </w:r>
      <w:r>
        <w:rPr>
          <w:sz w:val="24"/>
          <w:szCs w:val="24"/>
        </w:rPr>
        <w:tab/>
      </w:r>
      <w:r>
        <w:rPr>
          <w:sz w:val="24"/>
          <w:szCs w:val="24"/>
        </w:rPr>
        <w:t xml:space="preserve">O prazo estipulado no subitem </w:t>
      </w:r>
      <w:r>
        <w:rPr>
          <w:b/>
          <w:color w:val="FF0000"/>
          <w:sz w:val="24"/>
          <w:szCs w:val="24"/>
        </w:rPr>
        <w:t>15.2</w:t>
      </w:r>
      <w:r>
        <w:rPr>
          <w:sz w:val="24"/>
          <w:szCs w:val="24"/>
        </w:rPr>
        <w:t xml:space="preserve"> poderá ser prorrogado uma vez, por igual período, quando solicitado pela licitante vencedora, durante o seu transcurso e desde que ocorra motivo justificado aceito pela Administração Municipal.</w:t>
      </w:r>
    </w:p>
    <w:p>
      <w:pPr>
        <w:tabs>
          <w:tab w:val="left" w:pos="-7088"/>
          <w:tab w:val="left" w:pos="712"/>
        </w:tabs>
        <w:ind w:left="567" w:right="-1" w:hanging="567"/>
        <w:jc w:val="both"/>
        <w:rPr>
          <w:sz w:val="24"/>
          <w:szCs w:val="24"/>
        </w:rPr>
      </w:pPr>
      <w:r>
        <w:rPr>
          <w:sz w:val="24"/>
          <w:szCs w:val="24"/>
        </w:rPr>
        <w:t>14.4</w:t>
      </w:r>
      <w:r>
        <w:rPr>
          <w:sz w:val="24"/>
          <w:szCs w:val="24"/>
        </w:rPr>
        <w:tab/>
      </w:r>
      <w:r>
        <w:rPr>
          <w:sz w:val="24"/>
          <w:szCs w:val="24"/>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iCs/>
          <w:sz w:val="24"/>
          <w:szCs w:val="24"/>
        </w:rPr>
      </w:pPr>
      <w:r>
        <w:rPr>
          <w:iCs/>
          <w:sz w:val="24"/>
          <w:szCs w:val="24"/>
        </w:rPr>
        <w:t>14.5</w:t>
      </w:r>
      <w:r>
        <w:rPr>
          <w:iCs/>
          <w:sz w:val="24"/>
          <w:szCs w:val="24"/>
        </w:rPr>
        <w:tab/>
      </w:r>
      <w:r>
        <w:rPr>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iCs/>
          <w:sz w:val="24"/>
          <w:szCs w:val="24"/>
        </w:rPr>
      </w:pPr>
      <w:r>
        <w:rPr>
          <w:iCs/>
          <w:sz w:val="24"/>
          <w:szCs w:val="24"/>
        </w:rPr>
        <w:t>14.6</w:t>
      </w:r>
      <w:r>
        <w:rPr>
          <w:iCs/>
          <w:sz w:val="24"/>
          <w:szCs w:val="24"/>
        </w:rPr>
        <w:tab/>
      </w:r>
      <w:r>
        <w:rPr>
          <w:iCs/>
          <w:sz w:val="24"/>
          <w:szCs w:val="24"/>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ind w:left="567" w:hanging="567"/>
        <w:contextualSpacing/>
        <w:jc w:val="both"/>
        <w:rPr>
          <w:b/>
          <w:sz w:val="20"/>
          <w:szCs w:val="20"/>
        </w:rPr>
      </w:pPr>
      <w:r>
        <w:rPr>
          <w:b/>
          <w:sz w:val="24"/>
          <w:szCs w:val="24"/>
        </w:rPr>
        <w:t>15</w:t>
      </w:r>
      <w:r>
        <w:rPr>
          <w:b/>
          <w:sz w:val="24"/>
          <w:szCs w:val="24"/>
        </w:rPr>
        <w:tab/>
      </w:r>
      <w:r>
        <w:rPr>
          <w:b/>
          <w:sz w:val="24"/>
          <w:szCs w:val="24"/>
        </w:rPr>
        <w:t>DAS PENALIDADES:</w:t>
      </w:r>
    </w:p>
    <w:p>
      <w:pPr>
        <w:keepNext/>
        <w:keepLines/>
        <w:widowControl w:val="0"/>
        <w:tabs>
          <w:tab w:val="left" w:pos="-7088"/>
        </w:tabs>
        <w:ind w:left="567" w:hanging="567"/>
        <w:contextualSpacing/>
        <w:jc w:val="both"/>
        <w:rPr>
          <w:b/>
          <w:sz w:val="20"/>
          <w:szCs w:val="20"/>
        </w:rPr>
      </w:pPr>
    </w:p>
    <w:p>
      <w:pPr>
        <w:numPr>
          <w:ilvl w:val="0"/>
          <w:numId w:val="16"/>
        </w:numPr>
        <w:tabs>
          <w:tab w:val="left" w:pos="-7088"/>
        </w:tabs>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7088"/>
        </w:tabs>
        <w:ind w:left="567" w:right="-1" w:hanging="567"/>
        <w:jc w:val="both"/>
        <w:rPr>
          <w:iCs/>
          <w:sz w:val="24"/>
          <w:szCs w:val="24"/>
        </w:rPr>
      </w:pPr>
      <w:r>
        <w:rPr>
          <w:iCs/>
          <w:sz w:val="24"/>
          <w:szCs w:val="24"/>
        </w:rPr>
        <w:t>15.1</w:t>
      </w:r>
      <w:r>
        <w:rPr>
          <w:iCs/>
          <w:sz w:val="24"/>
          <w:szCs w:val="24"/>
        </w:rPr>
        <w:tab/>
      </w:r>
      <w:r>
        <w:rPr>
          <w:iCs/>
          <w:sz w:val="24"/>
          <w:szCs w:val="24"/>
        </w:rPr>
        <w:t>O atraso injustificado na execução da obra sujeitará o contratado à multa de mora, de acordo com os seguintes percentuais, garantida prévia defesa:</w:t>
      </w:r>
    </w:p>
    <w:p>
      <w:pPr>
        <w:numPr>
          <w:ilvl w:val="0"/>
          <w:numId w:val="18"/>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0,3% (três décimos por cento) ao dia sobre o valor do contrato, quando o adjudicatário, sem justa causa, cumprir a obrigação assumida com atraso de até 30 (trinta) dias após o prazo estabelecido;</w:t>
      </w:r>
    </w:p>
    <w:p>
      <w:pPr>
        <w:numPr>
          <w:ilvl w:val="0"/>
          <w:numId w:val="18"/>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0,7% (sete décimos por cento) ao dia, sobre o valor do contrato, quando o adjudicatário, sem justa causa, cumprir com a obrigação assumida, com atraso superior a 30 (trinta) dias do prazo estabelecido;</w:t>
      </w:r>
    </w:p>
    <w:p>
      <w:pPr>
        <w:ind w:left="142" w:right="-1"/>
        <w:jc w:val="both"/>
        <w:rPr>
          <w:b/>
          <w:bCs/>
          <w:iCs/>
          <w:sz w:val="24"/>
          <w:szCs w:val="24"/>
        </w:rPr>
      </w:pPr>
    </w:p>
    <w:p>
      <w:pPr>
        <w:ind w:right="-1"/>
        <w:jc w:val="both"/>
        <w:rPr>
          <w:iCs/>
          <w:sz w:val="24"/>
          <w:szCs w:val="24"/>
        </w:rPr>
      </w:pPr>
      <w:r>
        <w:rPr>
          <w:b/>
          <w:bCs/>
          <w:iCs/>
          <w:sz w:val="24"/>
          <w:szCs w:val="24"/>
        </w:rPr>
        <w:t xml:space="preserve">Parágrafo único; </w:t>
      </w:r>
      <w:r>
        <w:rPr>
          <w:iCs/>
          <w:sz w:val="24"/>
          <w:szCs w:val="24"/>
        </w:rPr>
        <w:t>as multas previstas neste item serão calculadas considerando-se os dias consecutivos a partir do dia útil imediatamente.</w:t>
      </w:r>
    </w:p>
    <w:p>
      <w:pPr>
        <w:ind w:left="567" w:right="-1" w:hanging="567"/>
        <w:jc w:val="both"/>
        <w:rPr>
          <w:iCs/>
          <w:sz w:val="24"/>
          <w:szCs w:val="24"/>
        </w:rPr>
      </w:pPr>
      <w:r>
        <w:rPr>
          <w:iCs/>
          <w:sz w:val="24"/>
          <w:szCs w:val="24"/>
        </w:rPr>
        <w:t>15.2</w:t>
      </w:r>
      <w:r>
        <w:rPr>
          <w:iCs/>
          <w:sz w:val="24"/>
          <w:szCs w:val="24"/>
        </w:rPr>
        <w:tab/>
      </w:r>
      <w:r>
        <w:rPr>
          <w:iCs/>
          <w:sz w:val="24"/>
          <w:szCs w:val="24"/>
        </w:rPr>
        <w:t>Pela inexecução total ou parcial do contrato a Administração Municipal de Naviraí, poderá garantida prévia defesa, aplicar ao contratado as seguintes sanções:</w:t>
      </w:r>
    </w:p>
    <w:p>
      <w:pPr>
        <w:numPr>
          <w:ilvl w:val="0"/>
          <w:numId w:val="19"/>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Advertência;</w:t>
      </w:r>
    </w:p>
    <w:p>
      <w:pPr>
        <w:numPr>
          <w:ilvl w:val="0"/>
          <w:numId w:val="19"/>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Multa;</w:t>
      </w:r>
    </w:p>
    <w:p>
      <w:pPr>
        <w:tabs>
          <w:tab w:val="left" w:pos="5954"/>
        </w:tabs>
        <w:ind w:left="851" w:right="-1"/>
        <w:jc w:val="both"/>
        <w:rPr>
          <w:iCs/>
          <w:sz w:val="24"/>
          <w:szCs w:val="24"/>
        </w:rPr>
      </w:pPr>
    </w:p>
    <w:p>
      <w:pPr>
        <w:numPr>
          <w:ilvl w:val="0"/>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dos serviços não realizados, após a rescisão do contrato, por ter o adjudicatário cumprido apenas parcialmente a obra;</w:t>
      </w:r>
    </w:p>
    <w:p>
      <w:pPr>
        <w:numPr>
          <w:ilvl w:val="0"/>
          <w:numId w:val="20"/>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jc w:val="both"/>
        <w:rPr>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19"/>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Suspensão do direito de participar de licitações com a administração pelo prazo de 02 (dois) anos;</w:t>
      </w:r>
    </w:p>
    <w:p>
      <w:pPr>
        <w:numPr>
          <w:ilvl w:val="0"/>
          <w:numId w:val="19"/>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Declaração de inidoneidade para licitar ou contratar com a administração pública;</w:t>
      </w:r>
    </w:p>
    <w:p>
      <w:pPr>
        <w:tabs>
          <w:tab w:val="left" w:pos="5954"/>
        </w:tabs>
        <w:ind w:left="1276" w:right="-1"/>
        <w:jc w:val="both"/>
        <w:rPr>
          <w:b/>
          <w:bCs/>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Declarar-se inidôneo o adjudicatário que, sem justa causa, não cumprir as obrigações assumidas, praticando a juízo da administração falta grave, revestida de dolo.</w:t>
      </w:r>
    </w:p>
    <w:p>
      <w:pPr>
        <w:ind w:left="567" w:right="-1" w:hanging="567"/>
        <w:jc w:val="both"/>
        <w:rPr>
          <w:iCs/>
          <w:sz w:val="24"/>
          <w:szCs w:val="24"/>
        </w:rPr>
      </w:pPr>
      <w:r>
        <w:rPr>
          <w:iCs/>
          <w:sz w:val="24"/>
          <w:szCs w:val="24"/>
        </w:rPr>
        <w:t>15.3</w:t>
      </w:r>
      <w:r>
        <w:rPr>
          <w:iCs/>
          <w:sz w:val="24"/>
          <w:szCs w:val="24"/>
        </w:rPr>
        <w:tab/>
      </w:r>
      <w:r>
        <w:rPr>
          <w:iCs/>
          <w:sz w:val="24"/>
          <w:szCs w:val="24"/>
        </w:rPr>
        <w:t xml:space="preserve">As sanções previstas nos incisos </w:t>
      </w:r>
      <w:r>
        <w:rPr>
          <w:b/>
          <w:iCs/>
          <w:color w:val="FF0000"/>
          <w:sz w:val="24"/>
          <w:szCs w:val="24"/>
        </w:rPr>
        <w:t>III e IV</w:t>
      </w:r>
      <w:r>
        <w:rPr>
          <w:iCs/>
          <w:sz w:val="24"/>
          <w:szCs w:val="24"/>
        </w:rPr>
        <w:t xml:space="preserve"> do item </w:t>
      </w:r>
      <w:r>
        <w:rPr>
          <w:b/>
          <w:iCs/>
          <w:color w:val="FF0000"/>
          <w:sz w:val="24"/>
          <w:szCs w:val="24"/>
        </w:rPr>
        <w:t>16.2</w:t>
      </w:r>
      <w:r>
        <w:rPr>
          <w:iCs/>
          <w:sz w:val="24"/>
          <w:szCs w:val="24"/>
        </w:rPr>
        <w:t xml:space="preserve"> poderão também ser aplicadas ao adjudicatário que:</w:t>
      </w:r>
    </w:p>
    <w:p>
      <w:pPr>
        <w:numPr>
          <w:ilvl w:val="1"/>
          <w:numId w:val="19"/>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sofrido condenação definitiva por praticar por meios dolosos, fraude fiscal no recolhimento de quaisquer tributos.</w:t>
      </w:r>
    </w:p>
    <w:p>
      <w:pPr>
        <w:numPr>
          <w:ilvl w:val="1"/>
          <w:numId w:val="19"/>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praticado atos ilícitos visando frustrar os objetivos da licitação;</w:t>
      </w:r>
    </w:p>
    <w:p>
      <w:pPr>
        <w:numPr>
          <w:ilvl w:val="1"/>
          <w:numId w:val="19"/>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Demonstre não possuir idoneidade para contratar com a administração em virtude de atos ilícitos praticados.</w:t>
      </w:r>
    </w:p>
    <w:p>
      <w:pPr>
        <w:tabs>
          <w:tab w:val="left" w:pos="1985"/>
        </w:tabs>
        <w:ind w:left="1636" w:right="-1"/>
        <w:jc w:val="both"/>
        <w:rPr>
          <w:iCs/>
          <w:sz w:val="24"/>
          <w:szCs w:val="24"/>
        </w:rPr>
      </w:pPr>
    </w:p>
    <w:p>
      <w:pPr>
        <w:ind w:left="567" w:right="-1" w:hanging="567"/>
        <w:jc w:val="both"/>
        <w:rPr>
          <w:iCs/>
          <w:sz w:val="24"/>
          <w:szCs w:val="24"/>
        </w:rPr>
      </w:pPr>
      <w:r>
        <w:rPr>
          <w:iCs/>
          <w:sz w:val="24"/>
          <w:szCs w:val="24"/>
        </w:rPr>
        <w:t>15.4</w:t>
      </w:r>
      <w:r>
        <w:rPr>
          <w:iCs/>
          <w:sz w:val="24"/>
          <w:szCs w:val="24"/>
        </w:rPr>
        <w:tab/>
      </w:r>
      <w:r>
        <w:rPr>
          <w:iCs/>
          <w:sz w:val="24"/>
          <w:szCs w:val="24"/>
        </w:rPr>
        <w:t xml:space="preserve">As sanções previstas nos incisos </w:t>
      </w:r>
      <w:r>
        <w:rPr>
          <w:b/>
          <w:iCs/>
          <w:color w:val="FF0000"/>
          <w:sz w:val="24"/>
          <w:szCs w:val="24"/>
        </w:rPr>
        <w:t>I, III e IV</w:t>
      </w:r>
      <w:r>
        <w:rPr>
          <w:iCs/>
          <w:sz w:val="24"/>
          <w:szCs w:val="24"/>
        </w:rPr>
        <w:t xml:space="preserve"> do item </w:t>
      </w:r>
      <w:r>
        <w:rPr>
          <w:b/>
          <w:iCs/>
          <w:color w:val="FF0000"/>
          <w:sz w:val="24"/>
          <w:szCs w:val="24"/>
        </w:rPr>
        <w:t>16.2</w:t>
      </w:r>
      <w:r>
        <w:rPr>
          <w:iCs/>
          <w:sz w:val="24"/>
          <w:szCs w:val="24"/>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iCs/>
          <w:sz w:val="24"/>
          <w:szCs w:val="24"/>
        </w:rPr>
      </w:pPr>
      <w:r>
        <w:rPr>
          <w:iCs/>
          <w:sz w:val="24"/>
          <w:szCs w:val="24"/>
        </w:rPr>
        <w:t>15.5</w:t>
      </w:r>
      <w:r>
        <w:rPr>
          <w:iCs/>
          <w:sz w:val="24"/>
          <w:szCs w:val="24"/>
        </w:rPr>
        <w:tab/>
      </w:r>
      <w:r>
        <w:rPr>
          <w:iCs/>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b/>
          <w:sz w:val="24"/>
          <w:szCs w:val="24"/>
        </w:rPr>
      </w:pPr>
      <w:r>
        <w:rPr>
          <w:b/>
          <w:sz w:val="24"/>
          <w:szCs w:val="24"/>
        </w:rPr>
        <w:t>16</w:t>
      </w:r>
      <w:r>
        <w:rPr>
          <w:b/>
          <w:sz w:val="24"/>
          <w:szCs w:val="24"/>
        </w:rPr>
        <w:tab/>
      </w:r>
      <w:r>
        <w:rPr>
          <w:b/>
          <w:sz w:val="24"/>
          <w:szCs w:val="24"/>
        </w:rPr>
        <w:t>DA RESCISÃO CONTRATUAL</w:t>
      </w:r>
    </w:p>
    <w:p>
      <w:pPr>
        <w:ind w:left="567" w:right="-1" w:hanging="567"/>
        <w:jc w:val="both"/>
        <w:rPr>
          <w:iCs/>
          <w:sz w:val="24"/>
          <w:szCs w:val="24"/>
        </w:rPr>
      </w:pPr>
      <w:r>
        <w:rPr>
          <w:iCs/>
          <w:sz w:val="24"/>
          <w:szCs w:val="24"/>
        </w:rPr>
        <w:t>16.1</w:t>
      </w:r>
      <w:r>
        <w:rPr>
          <w:iCs/>
          <w:sz w:val="24"/>
          <w:szCs w:val="24"/>
        </w:rPr>
        <w:tab/>
      </w:r>
      <w:r>
        <w:rPr>
          <w:iCs/>
          <w:sz w:val="24"/>
          <w:szCs w:val="24"/>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b/>
          <w:sz w:val="24"/>
          <w:szCs w:val="24"/>
        </w:rPr>
      </w:pPr>
      <w:r>
        <w:rPr>
          <w:b/>
          <w:sz w:val="24"/>
          <w:szCs w:val="24"/>
        </w:rPr>
        <w:t>17</w:t>
      </w:r>
      <w:r>
        <w:rPr>
          <w:b/>
          <w:sz w:val="24"/>
          <w:szCs w:val="24"/>
        </w:rPr>
        <w:tab/>
      </w:r>
      <w:r>
        <w:rPr>
          <w:b/>
          <w:sz w:val="24"/>
          <w:szCs w:val="24"/>
        </w:rPr>
        <w:t>IMPUGNAÇÃO E ESCLARECIMENTO NOS EDITAIS DO MUNICÍPIO DE NAVIRAÍ/MS</w:t>
      </w:r>
    </w:p>
    <w:p>
      <w:pPr>
        <w:ind w:left="567" w:hanging="567"/>
        <w:contextualSpacing/>
        <w:jc w:val="both"/>
        <w:rPr>
          <w:iCs/>
          <w:sz w:val="24"/>
          <w:szCs w:val="24"/>
        </w:rPr>
      </w:pPr>
      <w:r>
        <w:rPr>
          <w:iCs/>
          <w:sz w:val="24"/>
          <w:szCs w:val="24"/>
        </w:rPr>
        <w:t>17.1</w:t>
      </w:r>
      <w:r>
        <w:rPr>
          <w:iCs/>
          <w:sz w:val="24"/>
          <w:szCs w:val="24"/>
        </w:rPr>
        <w:tab/>
      </w:r>
      <w:r>
        <w:rPr>
          <w:iCs/>
          <w:sz w:val="24"/>
          <w:szCs w:val="24"/>
        </w:rPr>
        <w:t>Conforme disposto no Decreto Municipal nº. 24, de 03 de Abril de 2014,</w:t>
      </w:r>
      <w:r>
        <w:rPr>
          <w:rFonts w:eastAsia="Batang"/>
          <w:sz w:val="24"/>
          <w:szCs w:val="24"/>
        </w:rPr>
        <w:t xml:space="preserve"> sobre a regulamentação de impugnação e esclarecimento dos editais do Município de Naviraí/MS, em se tratando de modalidade de licitação prevista na Lei 8666/93, regulamentam que:</w:t>
      </w:r>
    </w:p>
    <w:p>
      <w:pPr>
        <w:ind w:left="567" w:hanging="567"/>
        <w:contextualSpacing/>
        <w:jc w:val="both"/>
        <w:rPr>
          <w:iCs/>
          <w:sz w:val="16"/>
          <w:szCs w:val="16"/>
        </w:rPr>
      </w:pPr>
    </w:p>
    <w:p>
      <w:pPr>
        <w:numPr>
          <w:ilvl w:val="0"/>
          <w:numId w:val="21"/>
        </w:numPr>
        <w:overflowPunct w:val="0"/>
        <w:autoSpaceDE w:val="0"/>
        <w:autoSpaceDN w:val="0"/>
        <w:adjustRightInd w:val="0"/>
        <w:spacing w:after="0" w:line="240" w:lineRule="auto"/>
        <w:ind w:left="567" w:hanging="283"/>
        <w:contextualSpacing/>
        <w:jc w:val="both"/>
        <w:textAlignment w:val="baseline"/>
        <w:rPr>
          <w:iCs/>
          <w:sz w:val="24"/>
          <w:szCs w:val="24"/>
        </w:rPr>
      </w:pPr>
      <w:r>
        <w:rPr>
          <w:iCs/>
          <w:sz w:val="24"/>
          <w:szCs w:val="24"/>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rPr>
      </w:pPr>
    </w:p>
    <w:p>
      <w:pPr>
        <w:ind w:left="567" w:hanging="567"/>
        <w:contextualSpacing/>
        <w:jc w:val="both"/>
        <w:rPr>
          <w:iCs/>
          <w:sz w:val="24"/>
          <w:szCs w:val="24"/>
        </w:rPr>
      </w:pPr>
      <w:r>
        <w:rPr>
          <w:iCs/>
          <w:sz w:val="24"/>
          <w:szCs w:val="24"/>
        </w:rPr>
        <w:t>17.2</w:t>
      </w:r>
      <w:r>
        <w:rPr>
          <w:iCs/>
          <w:sz w:val="24"/>
          <w:szCs w:val="24"/>
        </w:rPr>
        <w:tab/>
      </w:r>
      <w:r>
        <w:rPr>
          <w:iCs/>
          <w:sz w:val="24"/>
          <w:szCs w:val="24"/>
        </w:rPr>
        <w:t>Decairá do direito de impugnar os termos do edital de licitação perante a administração o licitante que não fizer até o 2º (segundo) dia útil que anteceder a abertura e recebimento dos envelopes de habilitação e proposta;</w:t>
      </w:r>
    </w:p>
    <w:p>
      <w:pPr>
        <w:ind w:left="567" w:hanging="567"/>
        <w:contextualSpacing/>
        <w:jc w:val="both"/>
        <w:rPr>
          <w:rFonts w:eastAsia="Batang"/>
          <w:bCs/>
          <w:sz w:val="16"/>
          <w:szCs w:val="16"/>
        </w:rPr>
      </w:pPr>
    </w:p>
    <w:p>
      <w:pPr>
        <w:ind w:left="567" w:hanging="567"/>
        <w:contextualSpacing/>
        <w:jc w:val="both"/>
        <w:rPr>
          <w:iCs/>
          <w:sz w:val="24"/>
          <w:szCs w:val="24"/>
        </w:rPr>
      </w:pPr>
      <w:r>
        <w:rPr>
          <w:iCs/>
          <w:sz w:val="24"/>
          <w:szCs w:val="24"/>
        </w:rPr>
        <w:t>17.3</w:t>
      </w:r>
      <w:r>
        <w:rPr>
          <w:iCs/>
          <w:sz w:val="24"/>
          <w:szCs w:val="24"/>
        </w:rPr>
        <w:tab/>
      </w:r>
      <w:r>
        <w:rPr>
          <w:iCs/>
          <w:sz w:val="24"/>
          <w:szCs w:val="24"/>
        </w:rPr>
        <w:t>A impugnação não terá efeito de recurso;</w:t>
      </w:r>
    </w:p>
    <w:p>
      <w:pPr>
        <w:ind w:left="567" w:hanging="567"/>
        <w:contextualSpacing/>
        <w:jc w:val="both"/>
        <w:rPr>
          <w:iCs/>
          <w:sz w:val="16"/>
          <w:szCs w:val="16"/>
        </w:rPr>
      </w:pPr>
    </w:p>
    <w:p>
      <w:pPr>
        <w:ind w:left="567" w:hanging="567"/>
        <w:contextualSpacing/>
        <w:jc w:val="both"/>
        <w:rPr>
          <w:iCs/>
          <w:sz w:val="24"/>
          <w:szCs w:val="24"/>
        </w:rPr>
      </w:pPr>
      <w:r>
        <w:rPr>
          <w:iCs/>
          <w:sz w:val="24"/>
          <w:szCs w:val="24"/>
        </w:rPr>
        <w:t>17.4</w:t>
      </w:r>
      <w:r>
        <w:rPr>
          <w:iCs/>
          <w:sz w:val="24"/>
          <w:szCs w:val="24"/>
        </w:rPr>
        <w:tab/>
      </w:r>
      <w:r>
        <w:rPr>
          <w:iCs/>
          <w:sz w:val="24"/>
          <w:szCs w:val="24"/>
        </w:rPr>
        <w:t>O licitante deverá juntar cópia do contrato social como forma de comprovar que atende o objeto do edital.</w:t>
      </w:r>
    </w:p>
    <w:p>
      <w:pPr>
        <w:ind w:left="567" w:hanging="567"/>
        <w:contextualSpacing/>
        <w:jc w:val="both"/>
        <w:rPr>
          <w:iCs/>
          <w:sz w:val="16"/>
          <w:szCs w:val="16"/>
        </w:rPr>
      </w:pPr>
    </w:p>
    <w:p>
      <w:pPr>
        <w:ind w:left="567" w:hanging="567"/>
        <w:contextualSpacing/>
        <w:jc w:val="both"/>
        <w:rPr>
          <w:iCs/>
          <w:sz w:val="24"/>
          <w:szCs w:val="24"/>
        </w:rPr>
      </w:pPr>
      <w:r>
        <w:rPr>
          <w:iCs/>
          <w:sz w:val="24"/>
          <w:szCs w:val="24"/>
        </w:rPr>
        <w:t>17.5 A administração não tem prazo para responder ao licitante. No entanto, se a impugnação for considerada procedente, a licitação poderá ser suspensa e o edital republicado com as devidas alterações.</w:t>
      </w:r>
    </w:p>
    <w:p>
      <w:pPr>
        <w:ind w:left="567" w:hanging="567"/>
        <w:contextualSpacing/>
        <w:jc w:val="both"/>
        <w:rPr>
          <w:iCs/>
          <w:sz w:val="16"/>
          <w:szCs w:val="16"/>
        </w:rPr>
      </w:pPr>
    </w:p>
    <w:p>
      <w:pPr>
        <w:ind w:left="567" w:hanging="567"/>
        <w:contextualSpacing/>
        <w:jc w:val="both"/>
        <w:rPr>
          <w:rFonts w:eastAsia="Times New Roman"/>
          <w:sz w:val="24"/>
          <w:szCs w:val="24"/>
        </w:rPr>
      </w:pPr>
      <w:r>
        <w:rPr>
          <w:iCs/>
          <w:sz w:val="24"/>
          <w:szCs w:val="24"/>
        </w:rPr>
        <w:t>17.6</w:t>
      </w:r>
      <w:r>
        <w:rPr>
          <w:iCs/>
          <w:sz w:val="24"/>
          <w:szCs w:val="24"/>
        </w:rPr>
        <w:tab/>
      </w:r>
      <w:r>
        <w:rPr>
          <w:iCs/>
          <w:sz w:val="24"/>
          <w:szCs w:val="24"/>
        </w:rPr>
        <w:t xml:space="preserve">E considerado protocolizado quando o documento ou AR é recebido por servidor do Paço Municipal. </w:t>
      </w:r>
      <w:r>
        <w:rPr>
          <w:rFonts w:eastAsia="Times New Roman"/>
          <w:sz w:val="24"/>
          <w:szCs w:val="24"/>
        </w:rPr>
        <w:t xml:space="preserve">Durante o período pandêmico por exceção ao Decreto, serão aceitos via e mail </w:t>
      </w:r>
      <w:r>
        <w:fldChar w:fldCharType="begin"/>
      </w:r>
      <w:r>
        <w:instrText xml:space="preserve"> HYPERLINK "mailto:(licitacaonavirai@gmail.com)" </w:instrText>
      </w:r>
      <w:r>
        <w:fldChar w:fldCharType="separate"/>
      </w:r>
      <w:r>
        <w:rPr>
          <w:rStyle w:val="15"/>
          <w:sz w:val="24"/>
          <w:szCs w:val="24"/>
        </w:rPr>
        <w:t>(licitacaonavirai@gmail.com)</w:t>
      </w:r>
      <w:r>
        <w:rPr>
          <w:rStyle w:val="15"/>
          <w:sz w:val="24"/>
          <w:szCs w:val="24"/>
        </w:rPr>
        <w:fldChar w:fldCharType="end"/>
      </w:r>
      <w:r>
        <w:rPr>
          <w:rFonts w:eastAsia="Times New Roman"/>
          <w:sz w:val="24"/>
          <w:szCs w:val="24"/>
        </w:rPr>
        <w:t xml:space="preserve"> desde que avisado ao Núcleo de Licitação e Contratos  por telefone (67) 3409-1500 o envio dos mesmos.</w:t>
      </w:r>
    </w:p>
    <w:p>
      <w:pPr>
        <w:ind w:left="567" w:right="-1" w:hanging="567"/>
        <w:jc w:val="both"/>
        <w:rPr>
          <w:b/>
          <w:sz w:val="24"/>
          <w:szCs w:val="24"/>
        </w:rPr>
      </w:pPr>
    </w:p>
    <w:p>
      <w:pPr>
        <w:keepNext/>
        <w:keepLines/>
        <w:widowControl w:val="0"/>
        <w:tabs>
          <w:tab w:val="left" w:pos="-4962"/>
        </w:tabs>
        <w:spacing w:before="20"/>
        <w:ind w:left="567" w:hanging="567"/>
        <w:contextualSpacing/>
        <w:jc w:val="both"/>
        <w:rPr>
          <w:b/>
          <w:sz w:val="24"/>
          <w:szCs w:val="24"/>
        </w:rPr>
      </w:pPr>
      <w:r>
        <w:rPr>
          <w:b/>
          <w:sz w:val="24"/>
          <w:szCs w:val="24"/>
        </w:rPr>
        <w:t>18</w:t>
      </w:r>
      <w:r>
        <w:rPr>
          <w:b/>
          <w:sz w:val="24"/>
          <w:szCs w:val="24"/>
        </w:rPr>
        <w:tab/>
      </w:r>
      <w:r>
        <w:rPr>
          <w:b/>
          <w:sz w:val="24"/>
          <w:szCs w:val="24"/>
        </w:rPr>
        <w:t>DISPOSIÇÕES GERAIS</w:t>
      </w:r>
    </w:p>
    <w:p>
      <w:pPr>
        <w:keepNext/>
        <w:keepLines/>
        <w:widowControl w:val="0"/>
        <w:tabs>
          <w:tab w:val="left" w:pos="426"/>
        </w:tabs>
        <w:spacing w:before="20"/>
        <w:ind w:left="567" w:hanging="567"/>
        <w:contextualSpacing/>
        <w:jc w:val="both"/>
        <w:rPr>
          <w:b/>
          <w:sz w:val="24"/>
          <w:szCs w:val="24"/>
        </w:rPr>
      </w:pPr>
    </w:p>
    <w:p>
      <w:pPr>
        <w:ind w:left="567" w:right="-1" w:hanging="567"/>
        <w:jc w:val="both"/>
        <w:rPr>
          <w:iCs/>
          <w:sz w:val="24"/>
          <w:szCs w:val="24"/>
        </w:rPr>
      </w:pPr>
      <w:r>
        <w:rPr>
          <w:iCs/>
          <w:sz w:val="24"/>
          <w:szCs w:val="24"/>
        </w:rPr>
        <w:t>18.1</w:t>
      </w:r>
      <w:r>
        <w:rPr>
          <w:iCs/>
          <w:sz w:val="24"/>
          <w:szCs w:val="24"/>
        </w:rPr>
        <w:tab/>
      </w:r>
      <w:r>
        <w:rPr>
          <w:iCs/>
          <w:sz w:val="24"/>
          <w:szCs w:val="24"/>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iCs/>
          <w:sz w:val="24"/>
          <w:szCs w:val="24"/>
        </w:rPr>
      </w:pPr>
      <w:r>
        <w:rPr>
          <w:iCs/>
          <w:sz w:val="24"/>
          <w:szCs w:val="24"/>
        </w:rPr>
        <w:t>18.2</w:t>
      </w:r>
      <w:r>
        <w:rPr>
          <w:iCs/>
          <w:sz w:val="24"/>
          <w:szCs w:val="24"/>
        </w:rPr>
        <w:tab/>
      </w:r>
      <w:r>
        <w:rPr>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iCs/>
          <w:sz w:val="24"/>
          <w:szCs w:val="24"/>
        </w:rPr>
      </w:pPr>
      <w:r>
        <w:rPr>
          <w:iCs/>
          <w:sz w:val="24"/>
          <w:szCs w:val="24"/>
        </w:rPr>
        <w:t>18.3</w:t>
      </w:r>
      <w:r>
        <w:rPr>
          <w:iCs/>
          <w:sz w:val="24"/>
          <w:szCs w:val="24"/>
        </w:rPr>
        <w:tab/>
      </w:r>
      <w:r>
        <w:rPr>
          <w:iCs/>
          <w:sz w:val="24"/>
          <w:szCs w:val="24"/>
        </w:rPr>
        <w:t>O recurso deverá ser dirigido ao Presidente da Comissão Permanente de Licitação e entregue, mediante protocolo, no seguinte endereço:</w:t>
      </w:r>
    </w:p>
    <w:p>
      <w:pPr>
        <w:spacing w:after="0"/>
        <w:ind w:left="567" w:right="-1"/>
        <w:jc w:val="both"/>
        <w:rPr>
          <w:b/>
          <w:bCs/>
          <w:sz w:val="24"/>
          <w:szCs w:val="24"/>
        </w:rPr>
      </w:pPr>
      <w:r>
        <w:rPr>
          <w:b/>
          <w:bCs/>
          <w:sz w:val="24"/>
          <w:szCs w:val="24"/>
        </w:rPr>
        <w:t>Ao Presidente da Comissão Permanente de Licitação</w:t>
      </w:r>
    </w:p>
    <w:p>
      <w:pPr>
        <w:spacing w:after="0"/>
        <w:ind w:left="567" w:right="-1"/>
        <w:jc w:val="both"/>
        <w:rPr>
          <w:b/>
          <w:bCs/>
          <w:sz w:val="24"/>
          <w:szCs w:val="24"/>
        </w:rPr>
      </w:pPr>
      <w:r>
        <w:rPr>
          <w:b/>
          <w:bCs/>
          <w:sz w:val="24"/>
          <w:szCs w:val="24"/>
        </w:rPr>
        <w:t>Prefeitura Municipal de Naviraí - MS</w:t>
      </w:r>
    </w:p>
    <w:p>
      <w:pPr>
        <w:spacing w:after="0"/>
        <w:ind w:left="567" w:right="-1"/>
        <w:jc w:val="both"/>
        <w:rPr>
          <w:b/>
          <w:bCs/>
          <w:sz w:val="24"/>
          <w:szCs w:val="24"/>
        </w:rPr>
      </w:pPr>
      <w:r>
        <w:rPr>
          <w:b/>
          <w:bCs/>
          <w:sz w:val="24"/>
          <w:szCs w:val="24"/>
        </w:rPr>
        <w:t>Praça Prefeito Euclides Antônio Fabris 343</w:t>
      </w:r>
    </w:p>
    <w:p>
      <w:pPr>
        <w:spacing w:after="0"/>
        <w:ind w:left="567" w:right="-1"/>
        <w:jc w:val="both"/>
        <w:rPr>
          <w:b/>
          <w:bCs/>
          <w:sz w:val="24"/>
          <w:szCs w:val="24"/>
        </w:rPr>
      </w:pPr>
      <w:r>
        <w:rPr>
          <w:b/>
          <w:bCs/>
          <w:sz w:val="24"/>
          <w:szCs w:val="24"/>
        </w:rPr>
        <w:t>Centro – CEP 79950-000</w:t>
      </w:r>
    </w:p>
    <w:p>
      <w:pPr>
        <w:spacing w:after="0"/>
        <w:ind w:left="567" w:right="-1"/>
        <w:jc w:val="both"/>
        <w:rPr>
          <w:b/>
          <w:bCs/>
          <w:sz w:val="24"/>
          <w:szCs w:val="24"/>
        </w:rPr>
      </w:pPr>
      <w:r>
        <w:rPr>
          <w:b/>
          <w:bCs/>
          <w:sz w:val="24"/>
          <w:szCs w:val="24"/>
        </w:rPr>
        <w:t>Naviraí/MS</w:t>
      </w:r>
    </w:p>
    <w:p>
      <w:pPr>
        <w:spacing w:after="0"/>
        <w:ind w:left="567" w:right="-1"/>
        <w:jc w:val="both"/>
        <w:rPr>
          <w:iCs/>
          <w:sz w:val="24"/>
          <w:szCs w:val="24"/>
        </w:rPr>
      </w:pPr>
    </w:p>
    <w:p>
      <w:pPr>
        <w:ind w:left="567" w:right="-1" w:hanging="567"/>
        <w:jc w:val="both"/>
        <w:rPr>
          <w:iCs/>
          <w:sz w:val="24"/>
          <w:szCs w:val="24"/>
        </w:rPr>
      </w:pPr>
      <w:r>
        <w:rPr>
          <w:iCs/>
          <w:sz w:val="24"/>
          <w:szCs w:val="24"/>
        </w:rPr>
        <w:t>18.4</w:t>
      </w:r>
      <w:r>
        <w:rPr>
          <w:iCs/>
          <w:sz w:val="24"/>
          <w:szCs w:val="24"/>
        </w:rPr>
        <w:tab/>
      </w:r>
      <w:r>
        <w:rPr>
          <w:iCs/>
          <w:sz w:val="24"/>
          <w:szCs w:val="24"/>
        </w:rPr>
        <w:t>O recurso referente à fase de habilitação terá efeito suspensivo.</w:t>
      </w:r>
    </w:p>
    <w:p>
      <w:pPr>
        <w:ind w:left="567" w:right="-1" w:hanging="567"/>
        <w:jc w:val="both"/>
        <w:rPr>
          <w:iCs/>
          <w:sz w:val="24"/>
          <w:szCs w:val="24"/>
        </w:rPr>
      </w:pPr>
      <w:r>
        <w:rPr>
          <w:iCs/>
          <w:sz w:val="24"/>
          <w:szCs w:val="24"/>
        </w:rPr>
        <w:t>18.5</w:t>
      </w:r>
      <w:r>
        <w:rPr>
          <w:iCs/>
          <w:sz w:val="24"/>
          <w:szCs w:val="24"/>
        </w:rPr>
        <w:tab/>
      </w:r>
      <w:r>
        <w:rPr>
          <w:iCs/>
          <w:sz w:val="24"/>
          <w:szCs w:val="24"/>
        </w:rPr>
        <w:t xml:space="preserve">Não será considerado o recurso interposto fora do prazo, ou que não tenha sido protocolado, ou que tenha sido entregue em endereço diferente daquele indicado no item </w:t>
      </w:r>
      <w:r>
        <w:rPr>
          <w:b/>
          <w:iCs/>
          <w:color w:val="FF0000"/>
          <w:sz w:val="24"/>
          <w:szCs w:val="24"/>
        </w:rPr>
        <w:t>18.3</w:t>
      </w:r>
      <w:r>
        <w:rPr>
          <w:iCs/>
          <w:sz w:val="24"/>
          <w:szCs w:val="24"/>
        </w:rPr>
        <w:t xml:space="preserve"> deste edital.</w:t>
      </w:r>
    </w:p>
    <w:p>
      <w:pPr>
        <w:ind w:left="567" w:right="-1" w:hanging="567"/>
        <w:jc w:val="both"/>
        <w:rPr>
          <w:iCs/>
          <w:sz w:val="24"/>
          <w:szCs w:val="24"/>
        </w:rPr>
      </w:pPr>
      <w:r>
        <w:rPr>
          <w:iCs/>
          <w:sz w:val="24"/>
          <w:szCs w:val="24"/>
        </w:rPr>
        <w:t>18.6</w:t>
      </w:r>
      <w:r>
        <w:rPr>
          <w:iCs/>
          <w:sz w:val="24"/>
          <w:szCs w:val="24"/>
        </w:rPr>
        <w:tab/>
      </w:r>
      <w:r>
        <w:rPr>
          <w:iCs/>
          <w:sz w:val="24"/>
          <w:szCs w:val="24"/>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iCs/>
          <w:sz w:val="24"/>
          <w:szCs w:val="24"/>
        </w:rPr>
      </w:pPr>
      <w:r>
        <w:rPr>
          <w:iCs/>
          <w:sz w:val="24"/>
          <w:szCs w:val="24"/>
        </w:rPr>
        <w:t>18.7</w:t>
      </w:r>
      <w:r>
        <w:rPr>
          <w:iCs/>
          <w:sz w:val="24"/>
          <w:szCs w:val="24"/>
        </w:rPr>
        <w:tab/>
      </w:r>
      <w:r>
        <w:rPr>
          <w:iCs/>
          <w:sz w:val="24"/>
          <w:szCs w:val="24"/>
        </w:rPr>
        <w:t>Completam este Edital os seguintes anexos:</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Termo de Referência;</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Minuta do Contrato;</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Proposta de Preços;</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Modelo da Carta de Credenciamento;</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do representante legal da empresa.</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sz w:val="24"/>
          <w:szCs w:val="24"/>
        </w:rPr>
        <w:t>Declaração de não empregos de menor</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de Fatos Supervenientes</w:t>
      </w:r>
    </w:p>
    <w:p>
      <w:pPr>
        <w:numPr>
          <w:ilvl w:val="0"/>
          <w:numId w:val="22"/>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Declaração de conhecimento e aceitação do teor do edital</w:t>
      </w:r>
    </w:p>
    <w:p>
      <w:pPr>
        <w:tabs>
          <w:tab w:val="left" w:pos="786"/>
        </w:tabs>
        <w:overflowPunct w:val="0"/>
        <w:autoSpaceDE w:val="0"/>
        <w:autoSpaceDN w:val="0"/>
        <w:adjustRightInd w:val="0"/>
        <w:spacing w:after="0" w:line="240" w:lineRule="auto"/>
        <w:ind w:left="851" w:right="-1"/>
        <w:jc w:val="both"/>
        <w:textAlignment w:val="baseline"/>
        <w:rPr>
          <w:sz w:val="24"/>
          <w:szCs w:val="24"/>
        </w:rPr>
      </w:pPr>
    </w:p>
    <w:p>
      <w:pPr>
        <w:ind w:right="-1"/>
        <w:jc w:val="both"/>
        <w:rPr>
          <w:sz w:val="24"/>
          <w:szCs w:val="24"/>
        </w:rPr>
      </w:pPr>
      <w:r>
        <w:rPr>
          <w:sz w:val="24"/>
          <w:szCs w:val="24"/>
        </w:rPr>
        <w:t xml:space="preserve"> Eu, Jaqueline Maria Garcia Mascioli, Servidora Pública Municipal, digitei-o presente edital com autorização do ordenador de despesas, e eu, Josemar Tomazelli, Gerente de Finanças conforme Decreto nº. 024/2021, conferi-o e a subscrevi,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b/>
          <w:color w:val="000000"/>
          <w:sz w:val="24"/>
          <w:szCs w:val="24"/>
        </w:rPr>
      </w:pPr>
    </w:p>
    <w:p>
      <w:pPr>
        <w:overflowPunct w:val="0"/>
        <w:autoSpaceDE w:val="0"/>
        <w:autoSpaceDN w:val="0"/>
        <w:adjustRightInd w:val="0"/>
        <w:spacing w:after="0" w:line="240" w:lineRule="auto"/>
        <w:jc w:val="center"/>
        <w:textAlignment w:val="baseline"/>
        <w:rPr>
          <w:rFonts w:eastAsia="Times New Roman"/>
          <w:bCs/>
          <w:iCs/>
          <w:sz w:val="24"/>
          <w:szCs w:val="24"/>
          <w:lang w:eastAsia="pt-BR"/>
        </w:rPr>
      </w:pPr>
      <w:r>
        <w:rPr>
          <w:rFonts w:hint="default"/>
          <w:b/>
          <w:color w:val="000000"/>
          <w:sz w:val="24"/>
          <w:szCs w:val="24"/>
          <w:lang w:val="pt-BR"/>
        </w:rPr>
        <w:t>Viviane Ribe</w:t>
      </w:r>
      <w:r>
        <w:rPr>
          <w:b/>
          <w:color w:val="000000"/>
          <w:sz w:val="24"/>
          <w:szCs w:val="24"/>
        </w:rPr>
        <w:t>i</w:t>
      </w:r>
      <w:r>
        <w:rPr>
          <w:rFonts w:hint="default"/>
          <w:b/>
          <w:color w:val="000000"/>
          <w:sz w:val="24"/>
          <w:szCs w:val="24"/>
          <w:lang w:val="pt-BR"/>
        </w:rPr>
        <w:t>ro Bojgarim Capilé</w:t>
      </w:r>
      <w:r>
        <w:rPr>
          <w:rFonts w:eastAsia="Times New Roman"/>
          <w:bCs/>
          <w:iCs/>
          <w:sz w:val="24"/>
          <w:szCs w:val="24"/>
          <w:lang w:eastAsia="pt-BR"/>
        </w:rPr>
        <w:t xml:space="preserve"> </w:t>
      </w:r>
    </w:p>
    <w:p>
      <w:pPr>
        <w:overflowPunct w:val="0"/>
        <w:autoSpaceDE w:val="0"/>
        <w:autoSpaceDN w:val="0"/>
        <w:adjustRightInd w:val="0"/>
        <w:spacing w:after="0" w:line="240" w:lineRule="auto"/>
        <w:jc w:val="center"/>
        <w:textAlignment w:val="baseline"/>
        <w:rPr>
          <w:rFonts w:eastAsia="Times New Roman"/>
          <w:sz w:val="24"/>
          <w:szCs w:val="24"/>
          <w:lang w:eastAsia="pt-BR"/>
        </w:rPr>
      </w:pPr>
      <w:r>
        <w:rPr>
          <w:rFonts w:eastAsia="Times New Roman"/>
          <w:bCs/>
          <w:iCs/>
          <w:sz w:val="24"/>
          <w:szCs w:val="24"/>
          <w:lang w:eastAsia="pt-BR"/>
        </w:rPr>
        <w:t>Servidora Pública Municipal</w:t>
      </w:r>
    </w:p>
    <w:p>
      <w:pPr>
        <w:tabs>
          <w:tab w:val="left" w:pos="-1800"/>
        </w:tabs>
        <w:overflowPunct w:val="0"/>
        <w:autoSpaceDE w:val="0"/>
        <w:autoSpaceDN w:val="0"/>
        <w:adjustRightInd w:val="0"/>
        <w:spacing w:after="0" w:line="240" w:lineRule="auto"/>
        <w:jc w:val="center"/>
        <w:textAlignment w:val="baseline"/>
        <w:rPr>
          <w:rFonts w:hint="default" w:eastAsia="Times New Roman"/>
          <w:b/>
          <w:color w:val="000000"/>
          <w:sz w:val="24"/>
          <w:szCs w:val="24"/>
          <w:lang w:val="en-US" w:eastAsia="pt-BR"/>
        </w:rPr>
      </w:pPr>
      <w:r>
        <w:rPr>
          <w:rFonts w:eastAsia="Times New Roman"/>
          <w:sz w:val="24"/>
          <w:szCs w:val="24"/>
          <w:lang w:eastAsia="pt-BR"/>
        </w:rPr>
        <w:t xml:space="preserve">Matrícula: </w:t>
      </w:r>
      <w:r>
        <w:rPr>
          <w:rFonts w:hint="default" w:eastAsia="Times New Roman"/>
          <w:sz w:val="24"/>
          <w:szCs w:val="24"/>
          <w:lang w:val="en-US" w:eastAsia="pt-BR"/>
        </w:rPr>
        <w:t>2599-0</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05 de julho</w:t>
      </w:r>
      <w:r>
        <w:rPr>
          <w:rFonts w:eastAsia="Times New Roman"/>
          <w:iCs/>
          <w:sz w:val="24"/>
          <w:szCs w:val="24"/>
          <w:lang w:eastAsia="pt-BR"/>
        </w:rPr>
        <w:t xml:space="preserve"> de 2021.</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r>
        <w:rPr>
          <w:rFonts w:eastAsia="Times New Roman"/>
          <w:b/>
          <w:bCs/>
          <w:color w:val="000000"/>
          <w:sz w:val="24"/>
          <w:szCs w:val="24"/>
          <w:lang w:eastAsia="pt-BR"/>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bCs/>
          <w:color w:val="000000"/>
          <w:sz w:val="24"/>
          <w:szCs w:val="24"/>
          <w:lang w:eastAsia="pt-BR"/>
        </w:rPr>
      </w:pPr>
      <w:r>
        <w:rPr>
          <w:rFonts w:eastAsia="Times New Roman"/>
          <w:bCs/>
          <w:color w:val="000000"/>
          <w:sz w:val="24"/>
          <w:szCs w:val="24"/>
          <w:lang w:eastAsia="pt-BR"/>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lang w:eastAsia="pt-BR"/>
        </w:rPr>
      </w:pPr>
      <w:r>
        <w:rPr>
          <w:rFonts w:eastAsia="Times New Roman"/>
          <w:bCs/>
          <w:color w:val="000000"/>
          <w:sz w:val="24"/>
          <w:szCs w:val="24"/>
          <w:lang w:eastAsia="pt-BR"/>
        </w:rPr>
        <w:t>Conforme Decreto nº 024/2021</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rPr>
          <w:rFonts w:eastAsia="Times New Roman"/>
          <w:b/>
          <w:iCs/>
          <w:sz w:val="24"/>
          <w:szCs w:val="24"/>
          <w:lang w:eastAsia="pt-BR"/>
        </w:rPr>
      </w:pPr>
      <w:r>
        <w:rPr>
          <w:rFonts w:eastAsia="Times New Roman"/>
          <w:b/>
          <w:iCs/>
          <w:sz w:val="24"/>
          <w:szCs w:val="24"/>
          <w:lang w:eastAsia="pt-BR"/>
        </w:rPr>
        <w:t xml:space="preserve">       </w:t>
      </w:r>
      <w:r>
        <w:drawing>
          <wp:inline distT="0" distB="0" distL="114300" distR="114300">
            <wp:extent cx="5233035" cy="7400290"/>
            <wp:effectExtent l="0" t="0" r="5715" b="10160"/>
            <wp:docPr id="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
                    <pic:cNvPicPr>
                      <a:picLocks noChangeAspect="1"/>
                    </pic:cNvPicPr>
                  </pic:nvPicPr>
                  <pic:blipFill>
                    <a:blip r:embed="rId9"/>
                    <a:stretch>
                      <a:fillRect/>
                    </a:stretch>
                  </pic:blipFill>
                  <pic:spPr>
                    <a:xfrm>
                      <a:off x="0" y="0"/>
                      <a:ext cx="5233035" cy="740029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23840" cy="7528560"/>
            <wp:effectExtent l="0" t="0" r="10160" b="15240"/>
            <wp:docPr id="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
                    <pic:cNvPicPr>
                      <a:picLocks noChangeAspect="1"/>
                    </pic:cNvPicPr>
                  </pic:nvPicPr>
                  <pic:blipFill>
                    <a:blip r:embed="rId10"/>
                    <a:stretch>
                      <a:fillRect/>
                    </a:stretch>
                  </pic:blipFill>
                  <pic:spPr>
                    <a:xfrm>
                      <a:off x="0" y="0"/>
                      <a:ext cx="5323840" cy="75285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27650" cy="7533005"/>
            <wp:effectExtent l="0" t="0" r="6350" b="10795"/>
            <wp:docPr id="2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3"/>
                    <pic:cNvPicPr>
                      <a:picLocks noChangeAspect="1"/>
                    </pic:cNvPicPr>
                  </pic:nvPicPr>
                  <pic:blipFill>
                    <a:blip r:embed="rId11"/>
                    <a:stretch>
                      <a:fillRect/>
                    </a:stretch>
                  </pic:blipFill>
                  <pic:spPr>
                    <a:xfrm>
                      <a:off x="0" y="0"/>
                      <a:ext cx="5327650" cy="75330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87645" cy="7477125"/>
            <wp:effectExtent l="0" t="0" r="8255" b="9525"/>
            <wp:docPr id="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4"/>
                    <pic:cNvPicPr>
                      <a:picLocks noChangeAspect="1"/>
                    </pic:cNvPicPr>
                  </pic:nvPicPr>
                  <pic:blipFill>
                    <a:blip r:embed="rId12"/>
                    <a:stretch>
                      <a:fillRect/>
                    </a:stretch>
                  </pic:blipFill>
                  <pic:spPr>
                    <a:xfrm>
                      <a:off x="0" y="0"/>
                      <a:ext cx="5287645" cy="74771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41620" cy="7553325"/>
            <wp:effectExtent l="0" t="0" r="11430" b="9525"/>
            <wp:docPr id="2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5"/>
                    <pic:cNvPicPr>
                      <a:picLocks noChangeAspect="1"/>
                    </pic:cNvPicPr>
                  </pic:nvPicPr>
                  <pic:blipFill>
                    <a:blip r:embed="rId13"/>
                    <a:stretch>
                      <a:fillRect/>
                    </a:stretch>
                  </pic:blipFill>
                  <pic:spPr>
                    <a:xfrm>
                      <a:off x="0" y="0"/>
                      <a:ext cx="5341620" cy="75533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68925" cy="7592060"/>
            <wp:effectExtent l="0" t="0" r="3175" b="8890"/>
            <wp:docPr id="3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6"/>
                    <pic:cNvPicPr>
                      <a:picLocks noChangeAspect="1"/>
                    </pic:cNvPicPr>
                  </pic:nvPicPr>
                  <pic:blipFill>
                    <a:blip r:embed="rId14"/>
                    <a:stretch>
                      <a:fillRect/>
                    </a:stretch>
                  </pic:blipFill>
                  <pic:spPr>
                    <a:xfrm>
                      <a:off x="0" y="0"/>
                      <a:ext cx="5368925" cy="75920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51475" cy="7708900"/>
            <wp:effectExtent l="0" t="0" r="15875" b="6350"/>
            <wp:docPr id="3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7"/>
                    <pic:cNvPicPr>
                      <a:picLocks noChangeAspect="1"/>
                    </pic:cNvPicPr>
                  </pic:nvPicPr>
                  <pic:blipFill>
                    <a:blip r:embed="rId15"/>
                    <a:stretch>
                      <a:fillRect/>
                    </a:stretch>
                  </pic:blipFill>
                  <pic:spPr>
                    <a:xfrm>
                      <a:off x="0" y="0"/>
                      <a:ext cx="5451475" cy="770890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70525" cy="7735570"/>
            <wp:effectExtent l="0" t="0" r="15875" b="17780"/>
            <wp:docPr id="3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8"/>
                    <pic:cNvPicPr>
                      <a:picLocks noChangeAspect="1"/>
                    </pic:cNvPicPr>
                  </pic:nvPicPr>
                  <pic:blipFill>
                    <a:blip r:embed="rId16"/>
                    <a:stretch>
                      <a:fillRect/>
                    </a:stretch>
                  </pic:blipFill>
                  <pic:spPr>
                    <a:xfrm>
                      <a:off x="0" y="0"/>
                      <a:ext cx="5470525" cy="773557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ANEXO II</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MINUTA DO CONTRATO Nº. ...../2021</w:t>
      </w:r>
    </w:p>
    <w:p>
      <w:pPr>
        <w:overflowPunct w:val="0"/>
        <w:autoSpaceDE w:val="0"/>
        <w:autoSpaceDN w:val="0"/>
        <w:adjustRightInd w:val="0"/>
        <w:spacing w:after="0" w:line="240" w:lineRule="auto"/>
        <w:jc w:val="both"/>
        <w:textAlignment w:val="baseline"/>
        <w:rPr>
          <w:rFonts w:eastAsia="Times New Roman"/>
          <w:iCs/>
          <w:sz w:val="24"/>
          <w:szCs w:val="24"/>
          <w:lang w:eastAsia="pt-BR"/>
        </w:rPr>
      </w:pPr>
    </w:p>
    <w:p>
      <w:pPr>
        <w:jc w:val="both"/>
        <w:rPr>
          <w:b/>
          <w:bCs/>
          <w:sz w:val="24"/>
          <w:szCs w:val="24"/>
        </w:rPr>
      </w:pPr>
      <w:r>
        <w:rPr>
          <w:b/>
          <w:bCs/>
          <w:sz w:val="24"/>
          <w:szCs w:val="24"/>
        </w:rPr>
        <w:t>INSTRUMENTO CONTRATUAL QUE CELEBRAM ENTRE SI O MUNICÍPIO DE NAVIRAÍ – MS E A EMPRESA_________________________________________</w:t>
      </w:r>
    </w:p>
    <w:p>
      <w:pPr>
        <w:jc w:val="both"/>
        <w:rPr>
          <w:sz w:val="24"/>
          <w:szCs w:val="24"/>
        </w:rPr>
      </w:pPr>
    </w:p>
    <w:p>
      <w:pPr>
        <w:jc w:val="both"/>
        <w:rPr>
          <w:sz w:val="24"/>
          <w:szCs w:val="24"/>
        </w:rPr>
      </w:pPr>
      <w:r>
        <w:rPr>
          <w:iCs/>
          <w:sz w:val="24"/>
          <w:szCs w:val="24"/>
        </w:rPr>
        <w:t xml:space="preserve">I - </w:t>
      </w:r>
      <w:r>
        <w:rPr>
          <w:iCs/>
          <w:sz w:val="24"/>
          <w:szCs w:val="24"/>
        </w:rPr>
        <w:tab/>
      </w:r>
      <w:r>
        <w:rPr>
          <w:iCs/>
          <w:sz w:val="24"/>
          <w:szCs w:val="24"/>
        </w:rPr>
        <w:t>CONTRATANTE: PREFEITURA DE NAVIRAÍ, Pessoa Jurídica de Direito Público Interno, com sede a Praça Prefeito Euclides Antônio Fabris n.º 343, inscrita no CGC/MF sob o n.º 03.155.934/0001-90,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rPr>
          <w:iCs/>
          <w:sz w:val="24"/>
          <w:szCs w:val="24"/>
        </w:rPr>
      </w:pPr>
      <w:r>
        <w:rPr>
          <w:sz w:val="24"/>
          <w:szCs w:val="24"/>
        </w:rPr>
        <w:t>II -</w:t>
      </w:r>
      <w:r>
        <w:rPr>
          <w:sz w:val="24"/>
          <w:szCs w:val="24"/>
        </w:rPr>
        <w:tab/>
      </w:r>
      <w:r>
        <w:rPr>
          <w:sz w:val="24"/>
          <w:szCs w:val="24"/>
        </w:rPr>
        <w:t xml:space="preserve"> REPRESENTANTES: Representa a CONTRATANTE </w:t>
      </w:r>
      <w:r>
        <w:rPr>
          <w:b/>
          <w:iCs/>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 e representa a CONTRATADA o(a)  Sr (a) ............................, brasileiro (a), portador (a) do CPF/MF nº ....  e Cédula de Identidade RG, residente e domiciliado ....., a Rua. ......................., ............. – bairro....</w:t>
      </w:r>
    </w:p>
    <w:p>
      <w:pPr>
        <w:jc w:val="both"/>
        <w:rPr>
          <w:sz w:val="24"/>
          <w:szCs w:val="24"/>
        </w:rPr>
      </w:pPr>
      <w:r>
        <w:rPr>
          <w:b/>
          <w:sz w:val="24"/>
          <w:szCs w:val="24"/>
        </w:rPr>
        <w:t>III - DA AUTORIZAÇÃO E LICITAÇÃO:</w:t>
      </w:r>
      <w:r>
        <w:rPr>
          <w:sz w:val="24"/>
          <w:szCs w:val="24"/>
        </w:rPr>
        <w:t xml:space="preserve"> o PRESENTE Contrato é celebrado em decorrência da autorização da Sra. Rhaiza Rejane Neme de Matos, Prefeita Municipal, exarada em despacho constante do </w:t>
      </w:r>
      <w:r>
        <w:rPr>
          <w:b/>
          <w:sz w:val="24"/>
          <w:szCs w:val="24"/>
        </w:rPr>
        <w:t>Processo Licitatório nº. 037/2021</w:t>
      </w:r>
      <w:r>
        <w:rPr>
          <w:sz w:val="24"/>
          <w:szCs w:val="24"/>
        </w:rPr>
        <w:t xml:space="preserve">, gerado pela </w:t>
      </w:r>
      <w:r>
        <w:rPr>
          <w:b/>
          <w:sz w:val="24"/>
          <w:szCs w:val="24"/>
        </w:rPr>
        <w:t>Tomada de Preços nº. 003/2021</w:t>
      </w:r>
      <w:r>
        <w:rPr>
          <w:sz w:val="24"/>
          <w:szCs w:val="24"/>
        </w:rPr>
        <w:t>, que faz parte integrante e complementar deste Contrato, como se nele estivesse contido.</w:t>
      </w:r>
    </w:p>
    <w:p>
      <w:pPr>
        <w:jc w:val="both"/>
        <w:rPr>
          <w:sz w:val="24"/>
          <w:szCs w:val="24"/>
        </w:rPr>
      </w:pPr>
      <w:r>
        <w:rPr>
          <w:b/>
          <w:sz w:val="24"/>
          <w:szCs w:val="24"/>
        </w:rPr>
        <w:t>IV - FUNDAMENTO LEGAL:</w:t>
      </w:r>
      <w:r>
        <w:rPr>
          <w:sz w:val="24"/>
          <w:szCs w:val="24"/>
        </w:rPr>
        <w:t xml:space="preserve"> O Presente Contrato é regido pelas cláusulas e condições nele contidos, pela Lei 8.666/93, e demais normas legais pertinentes.</w:t>
      </w:r>
    </w:p>
    <w:p>
      <w:pPr>
        <w:keepNext/>
        <w:keepLines/>
        <w:widowControl w:val="0"/>
        <w:spacing w:before="20"/>
        <w:jc w:val="both"/>
        <w:rPr>
          <w:b/>
          <w:iCs/>
          <w:sz w:val="24"/>
          <w:szCs w:val="24"/>
        </w:rPr>
      </w:pPr>
      <w:r>
        <w:rPr>
          <w:b/>
          <w:iCs/>
          <w:sz w:val="24"/>
          <w:szCs w:val="24"/>
        </w:rPr>
        <w:t>CLÁUSULA PRIMEIRA – DO OBJETO</w:t>
      </w:r>
    </w:p>
    <w:p>
      <w:pPr>
        <w:overflowPunct w:val="0"/>
        <w:autoSpaceDE w:val="0"/>
        <w:autoSpaceDN w:val="0"/>
        <w:adjustRightInd w:val="0"/>
        <w:spacing w:after="0" w:line="240" w:lineRule="auto"/>
        <w:ind w:right="-1"/>
        <w:jc w:val="both"/>
        <w:textAlignment w:val="baseline"/>
        <w:rPr>
          <w:b/>
          <w:bCs/>
          <w:iCs/>
          <w:sz w:val="24"/>
          <w:szCs w:val="24"/>
        </w:rPr>
      </w:pPr>
      <w:r>
        <w:rPr>
          <w:bCs/>
          <w:sz w:val="24"/>
          <w:szCs w:val="24"/>
        </w:rPr>
        <w:t>1.1 Constitui</w:t>
      </w:r>
      <w:r>
        <w:rPr>
          <w:sz w:val="24"/>
          <w:szCs w:val="24"/>
        </w:rPr>
        <w:t xml:space="preserve"> objeto deste Contrato a </w:t>
      </w:r>
      <w:r>
        <w:rPr>
          <w:rFonts w:eastAsia="Times New Roman"/>
          <w:b/>
          <w:sz w:val="24"/>
          <w:szCs w:val="24"/>
          <w:lang w:eastAsia="pt-BR"/>
        </w:rPr>
        <w:t>CONTRATAÇÃO DE EMPRESA ESPECIALIZADA EM PRESTAÇÃO DE SERVIÇO DE ASSESSORIA, FISCALIZAÇÃO, CONSULTORIA, SUPERVISÃO, ASSISTÊNCIA EM PROJETO CIVIL E INFRAESTRUTURA DO MUNICÍPIO DE NAVIRAÍ-MS, CONFORME TERMO DE REFERÊNCIA, SOLICITAÇÃO GERÊNCIA DE OBRAS. PEDIDO DE SERVIÇO Nº 086/2021,</w:t>
      </w:r>
      <w:r>
        <w:rPr>
          <w:b/>
          <w:sz w:val="24"/>
          <w:szCs w:val="24"/>
        </w:rPr>
        <w:t xml:space="preserve"> </w:t>
      </w:r>
      <w:r>
        <w:rPr>
          <w:iCs/>
          <w:sz w:val="24"/>
          <w:szCs w:val="24"/>
        </w:rPr>
        <w:t xml:space="preserve">conforme as especificações constantes no Processo Licitatório nº. </w:t>
      </w:r>
      <w:r>
        <w:rPr>
          <w:b/>
          <w:iCs/>
          <w:sz w:val="24"/>
          <w:szCs w:val="24"/>
        </w:rPr>
        <w:t>035/2021</w:t>
      </w:r>
      <w:r>
        <w:rPr>
          <w:iCs/>
          <w:sz w:val="24"/>
          <w:szCs w:val="24"/>
        </w:rPr>
        <w:t xml:space="preserve">, os quais ora são adjudicados à CONTRATADA com fulcro no julgamento e respectiva homologação do procedimento licitatório realizado pela Tomada de Preço nº. </w:t>
      </w:r>
      <w:r>
        <w:rPr>
          <w:b/>
          <w:iCs/>
          <w:sz w:val="24"/>
          <w:szCs w:val="24"/>
        </w:rPr>
        <w:t>003/2021</w:t>
      </w:r>
      <w:r>
        <w:rPr>
          <w:iCs/>
          <w:sz w:val="24"/>
          <w:szCs w:val="24"/>
        </w:rPr>
        <w:t>, que dele passa a fazer parte integrante e indissociável, independentemente de sua transcrição, para todos os efeitos legais.</w:t>
      </w:r>
    </w:p>
    <w:p>
      <w:pPr>
        <w:jc w:val="both"/>
        <w:rPr>
          <w:b/>
          <w:bCs/>
          <w:sz w:val="24"/>
          <w:szCs w:val="24"/>
        </w:rPr>
      </w:pPr>
    </w:p>
    <w:p>
      <w:pPr>
        <w:keepNext/>
        <w:keepLines/>
        <w:widowControl w:val="0"/>
        <w:spacing w:before="20"/>
        <w:jc w:val="both"/>
        <w:rPr>
          <w:b/>
          <w:iCs/>
          <w:sz w:val="24"/>
          <w:szCs w:val="24"/>
        </w:rPr>
      </w:pPr>
      <w:r>
        <w:rPr>
          <w:b/>
          <w:iCs/>
          <w:sz w:val="24"/>
          <w:szCs w:val="24"/>
        </w:rPr>
        <w:t>CLÁUSULA SEGUNDA – REGIME DE EXECUÇÃO</w:t>
      </w:r>
    </w:p>
    <w:p>
      <w:pPr>
        <w:overflowPunct w:val="0"/>
        <w:autoSpaceDE w:val="0"/>
        <w:autoSpaceDN w:val="0"/>
        <w:adjustRightInd w:val="0"/>
        <w:spacing w:after="0" w:line="240" w:lineRule="auto"/>
        <w:jc w:val="both"/>
        <w:textAlignment w:val="baseline"/>
        <w:rPr>
          <w:sz w:val="24"/>
          <w:szCs w:val="24"/>
        </w:rPr>
      </w:pPr>
      <w:r>
        <w:rPr>
          <w:sz w:val="24"/>
          <w:szCs w:val="24"/>
        </w:rPr>
        <w:t>2.1 - O presente contrato será executado por administração indireta, pelo regime de empreitada por Preço Global;</w:t>
      </w:r>
    </w:p>
    <w:p>
      <w:pPr>
        <w:keepNext/>
        <w:ind w:right="-289"/>
        <w:jc w:val="both"/>
        <w:outlineLvl w:val="6"/>
        <w:rPr>
          <w:iCs/>
          <w:sz w:val="24"/>
          <w:szCs w:val="24"/>
          <w:u w:val="single"/>
        </w:rPr>
      </w:pPr>
    </w:p>
    <w:p>
      <w:pPr>
        <w:keepNext/>
        <w:keepLines/>
        <w:widowControl w:val="0"/>
        <w:spacing w:before="20"/>
        <w:jc w:val="both"/>
        <w:rPr>
          <w:b/>
          <w:iCs/>
          <w:sz w:val="24"/>
          <w:szCs w:val="24"/>
        </w:rPr>
      </w:pPr>
      <w:r>
        <w:rPr>
          <w:b/>
          <w:iCs/>
          <w:sz w:val="24"/>
          <w:szCs w:val="24"/>
        </w:rPr>
        <w:t>CLÁUSULA TERCEIRA – DO VALOR CONTRATUAL</w:t>
      </w:r>
    </w:p>
    <w:p>
      <w:pPr>
        <w:overflowPunct w:val="0"/>
        <w:autoSpaceDE w:val="0"/>
        <w:autoSpaceDN w:val="0"/>
        <w:adjustRightInd w:val="0"/>
        <w:spacing w:after="0" w:line="240" w:lineRule="auto"/>
        <w:jc w:val="both"/>
        <w:textAlignment w:val="baseline"/>
        <w:rPr>
          <w:sz w:val="24"/>
          <w:szCs w:val="24"/>
        </w:rPr>
      </w:pPr>
      <w:r>
        <w:rPr>
          <w:sz w:val="24"/>
          <w:szCs w:val="24"/>
        </w:rPr>
        <w:t xml:space="preserve">3.1 - O valor global do serviço, ora contratado é de </w:t>
      </w:r>
      <w:r>
        <w:rPr>
          <w:b/>
          <w:sz w:val="24"/>
          <w:szCs w:val="24"/>
        </w:rPr>
        <w:t>R$ ............. ( ..................... ),</w:t>
      </w:r>
      <w:r>
        <w:rPr>
          <w:sz w:val="24"/>
          <w:szCs w:val="24"/>
        </w:rPr>
        <w:t xml:space="preserve"> fixo e irreajustável.</w:t>
      </w:r>
    </w:p>
    <w:p>
      <w:pPr>
        <w:ind w:left="142"/>
        <w:jc w:val="both"/>
        <w:rPr>
          <w:sz w:val="24"/>
          <w:szCs w:val="24"/>
        </w:rPr>
      </w:pPr>
    </w:p>
    <w:p>
      <w:pPr>
        <w:keepNext/>
        <w:keepLines/>
        <w:widowControl w:val="0"/>
        <w:spacing w:before="20"/>
        <w:jc w:val="both"/>
        <w:rPr>
          <w:b/>
          <w:iCs/>
          <w:sz w:val="24"/>
          <w:szCs w:val="24"/>
        </w:rPr>
      </w:pPr>
      <w:r>
        <w:rPr>
          <w:b/>
          <w:iCs/>
          <w:sz w:val="24"/>
          <w:szCs w:val="24"/>
        </w:rPr>
        <w:t>CLÁUSULA QUARTA – DOS PREÇOS E DO REAJUSTE</w:t>
      </w:r>
    </w:p>
    <w:p>
      <w:pPr>
        <w:autoSpaceDE w:val="0"/>
        <w:autoSpaceDN w:val="0"/>
        <w:adjustRightInd w:val="0"/>
        <w:spacing w:after="0" w:line="240" w:lineRule="auto"/>
        <w:jc w:val="both"/>
        <w:rPr>
          <w:iCs/>
          <w:sz w:val="24"/>
          <w:szCs w:val="24"/>
        </w:rPr>
      </w:pPr>
      <w:r>
        <w:rPr>
          <w:iCs/>
          <w:sz w:val="24"/>
          <w:szCs w:val="24"/>
        </w:rPr>
        <w:t>4.1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4.2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spacing w:before="20"/>
        <w:jc w:val="both"/>
        <w:rPr>
          <w:b/>
          <w:iCs/>
          <w:sz w:val="24"/>
          <w:szCs w:val="24"/>
        </w:rPr>
      </w:pPr>
      <w:r>
        <w:rPr>
          <w:b/>
          <w:iCs/>
          <w:sz w:val="24"/>
          <w:szCs w:val="24"/>
        </w:rPr>
        <w:t>CLÁUSULA QUINTA – PAGAMENTOS E RECEBIMENTO DOS SERVIÇOS.</w:t>
      </w:r>
    </w:p>
    <w:p>
      <w:pPr>
        <w:tabs>
          <w:tab w:val="left" w:pos="1276"/>
        </w:tabs>
        <w:overflowPunct w:val="0"/>
        <w:autoSpaceDE w:val="0"/>
        <w:autoSpaceDN w:val="0"/>
        <w:adjustRightInd w:val="0"/>
        <w:spacing w:after="0" w:line="240" w:lineRule="auto"/>
        <w:ind w:left="360" w:right="-1"/>
        <w:jc w:val="both"/>
        <w:textAlignment w:val="baseline"/>
        <w:rPr>
          <w:iCs/>
          <w:sz w:val="24"/>
          <w:szCs w:val="24"/>
        </w:rPr>
      </w:pPr>
      <w:r>
        <w:rPr>
          <w:iCs/>
          <w:sz w:val="24"/>
          <w:szCs w:val="24"/>
        </w:rPr>
        <w:t>5.1 - O pagamento mensal referente à prestação de serviços de Elaboração de Projetos deverá ocorrer conforme apresentação de medição mensal.</w:t>
      </w:r>
    </w:p>
    <w:p>
      <w:pPr>
        <w:tabs>
          <w:tab w:val="left" w:pos="1276"/>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r>
        <w:rPr>
          <w:iCs/>
          <w:sz w:val="24"/>
          <w:szCs w:val="24"/>
        </w:rPr>
        <w:t>5.2- O pagamento mensal referente à prestação de serviço de Assessoria/Fiscalização/Consultoria/Supervisão, deverá ocorrer conforme apresentação de Relatórios mensais.</w:t>
      </w:r>
    </w:p>
    <w:p>
      <w:pPr>
        <w:overflowPunct w:val="0"/>
        <w:autoSpaceDE w:val="0"/>
        <w:autoSpaceDN w:val="0"/>
        <w:adjustRightInd w:val="0"/>
        <w:ind w:left="1276" w:right="-1"/>
        <w:textAlignment w:val="baseline"/>
        <w:rPr>
          <w:iCs/>
          <w:sz w:val="24"/>
          <w:szCs w:val="24"/>
        </w:rPr>
      </w:pPr>
    </w:p>
    <w:p>
      <w:pPr>
        <w:tabs>
          <w:tab w:val="left" w:pos="1276"/>
        </w:tabs>
        <w:overflowPunct w:val="0"/>
        <w:autoSpaceDE w:val="0"/>
        <w:autoSpaceDN w:val="0"/>
        <w:adjustRightInd w:val="0"/>
        <w:spacing w:after="0" w:line="240" w:lineRule="auto"/>
        <w:ind w:right="-1"/>
        <w:jc w:val="both"/>
        <w:textAlignment w:val="baseline"/>
        <w:rPr>
          <w:iCs/>
          <w:sz w:val="24"/>
          <w:szCs w:val="24"/>
        </w:rPr>
      </w:pPr>
      <w:r>
        <w:rPr>
          <w:iCs/>
          <w:sz w:val="24"/>
          <w:szCs w:val="24"/>
        </w:rPr>
        <w:t xml:space="preserve">      5.3- As Notas Fiscais/Fatura correspondentes serão discriminativas, constando o número do contrato a ser firmado, acompanhadas de relatório dos serviços executados.</w:t>
      </w:r>
    </w:p>
    <w:p>
      <w:pPr>
        <w:keepNext/>
        <w:widowControl w:val="0"/>
        <w:ind w:right="-289"/>
        <w:jc w:val="both"/>
        <w:outlineLvl w:val="5"/>
        <w:rPr>
          <w:iCs/>
          <w:sz w:val="24"/>
          <w:szCs w:val="24"/>
        </w:rPr>
      </w:pPr>
      <w:r>
        <w:rPr>
          <w:iCs/>
          <w:sz w:val="24"/>
          <w:szCs w:val="24"/>
        </w:rPr>
        <w:t xml:space="preserve">        </w:t>
      </w:r>
    </w:p>
    <w:p>
      <w:pPr>
        <w:keepNext/>
        <w:widowControl w:val="0"/>
        <w:ind w:right="-289"/>
        <w:jc w:val="both"/>
        <w:outlineLvl w:val="5"/>
        <w:rPr>
          <w:b/>
          <w:iCs/>
          <w:sz w:val="24"/>
          <w:szCs w:val="24"/>
        </w:rPr>
      </w:pPr>
      <w:r>
        <w:rPr>
          <w:iCs/>
          <w:sz w:val="24"/>
          <w:szCs w:val="24"/>
        </w:rPr>
        <w:t xml:space="preserve">      5.4 -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keepNext/>
        <w:keepLines/>
        <w:widowControl w:val="0"/>
        <w:spacing w:before="20"/>
        <w:jc w:val="both"/>
        <w:rPr>
          <w:b/>
          <w:iCs/>
          <w:sz w:val="24"/>
          <w:szCs w:val="24"/>
        </w:rPr>
      </w:pPr>
      <w:r>
        <w:rPr>
          <w:b/>
          <w:iCs/>
          <w:sz w:val="24"/>
          <w:szCs w:val="24"/>
        </w:rPr>
        <w:t>CLÁUSULA SEXTA – DOTAÇÃO ORÇAMENTÁRIA</w:t>
      </w: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iCs/>
          <w:sz w:val="24"/>
          <w:szCs w:val="24"/>
        </w:rPr>
        <w:t xml:space="preserve">6.1   </w:t>
      </w:r>
      <w:r>
        <w:rPr>
          <w:rFonts w:eastAsia="Times New Roman"/>
          <w:iCs/>
          <w:sz w:val="24"/>
          <w:szCs w:val="24"/>
          <w:lang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overflowPunct w:val="0"/>
        <w:autoSpaceDE w:val="0"/>
        <w:autoSpaceDN w:val="0"/>
        <w:adjustRightInd w:val="0"/>
        <w:spacing w:after="0" w:line="240" w:lineRule="auto"/>
        <w:ind w:left="360"/>
        <w:jc w:val="both"/>
        <w:textAlignment w:val="baseline"/>
        <w:rPr>
          <w:rFonts w:eastAsia="Times New Roman"/>
          <w:b/>
          <w:iCs/>
          <w:sz w:val="24"/>
          <w:szCs w:val="24"/>
          <w:lang w:eastAsia="pt-BR"/>
        </w:rPr>
      </w:pPr>
      <w:r>
        <w:rPr>
          <w:rFonts w:eastAsia="Times New Roman"/>
          <w:b/>
          <w:iCs/>
          <w:sz w:val="24"/>
          <w:szCs w:val="24"/>
          <w:lang w:eastAsia="pt-BR"/>
        </w:rPr>
        <w:t>GERÊNCIA DE OBRAS – DOTAÇÃO ORÇAMENTÁRIA: 01.04.00.04.122.0401.008-33.90.39.99.00.00 (R 11187).</w:t>
      </w:r>
    </w:p>
    <w:p>
      <w:pPr>
        <w:ind w:left="142"/>
        <w:jc w:val="both"/>
        <w:rPr>
          <w:b/>
          <w:bCs/>
          <w:sz w:val="24"/>
          <w:szCs w:val="24"/>
        </w:rPr>
      </w:pPr>
    </w:p>
    <w:p>
      <w:pPr>
        <w:keepNext/>
        <w:keepLines/>
        <w:widowControl w:val="0"/>
        <w:spacing w:before="20"/>
        <w:jc w:val="both"/>
        <w:rPr>
          <w:b/>
          <w:iCs/>
          <w:sz w:val="24"/>
          <w:szCs w:val="24"/>
        </w:rPr>
      </w:pPr>
      <w:r>
        <w:rPr>
          <w:b/>
          <w:iCs/>
          <w:sz w:val="24"/>
          <w:szCs w:val="24"/>
        </w:rPr>
        <w:t>CLÁUSULA SÉTIMA – DOS PRAZOS</w:t>
      </w:r>
    </w:p>
    <w:p>
      <w:pPr>
        <w:pStyle w:val="46"/>
        <w:overflowPunct w:val="0"/>
        <w:autoSpaceDE w:val="0"/>
        <w:autoSpaceDN w:val="0"/>
        <w:adjustRightInd w:val="0"/>
        <w:spacing w:after="0" w:line="240" w:lineRule="auto"/>
        <w:ind w:left="709" w:hanging="709"/>
        <w:jc w:val="both"/>
        <w:textAlignment w:val="baseline"/>
        <w:rPr>
          <w:rFonts w:ascii="Times New Roman" w:hAnsi="Times New Roman"/>
          <w:sz w:val="24"/>
          <w:szCs w:val="24"/>
        </w:rPr>
      </w:pPr>
      <w:r>
        <w:rPr>
          <w:rFonts w:ascii="Times New Roman" w:hAnsi="Times New Roman"/>
          <w:sz w:val="24"/>
          <w:szCs w:val="24"/>
        </w:rPr>
        <w:t xml:space="preserve">7.1 - O prazo de </w:t>
      </w:r>
      <w:r>
        <w:rPr>
          <w:rFonts w:ascii="Times New Roman" w:hAnsi="Times New Roman"/>
          <w:b/>
          <w:sz w:val="24"/>
          <w:szCs w:val="24"/>
          <w:u w:val="single"/>
        </w:rPr>
        <w:t>vigência</w:t>
      </w:r>
      <w:r>
        <w:rPr>
          <w:rFonts w:ascii="Times New Roman" w:hAnsi="Times New Roman"/>
          <w:sz w:val="24"/>
          <w:szCs w:val="24"/>
        </w:rPr>
        <w:t xml:space="preserve"> do Contrato será </w:t>
      </w:r>
      <w:r>
        <w:rPr>
          <w:rFonts w:ascii="Times New Roman" w:hAnsi="Times New Roman"/>
          <w:iCs/>
          <w:sz w:val="24"/>
          <w:szCs w:val="24"/>
        </w:rPr>
        <w:t xml:space="preserve">de </w:t>
      </w:r>
      <w:r>
        <w:rPr>
          <w:rFonts w:ascii="Times New Roman" w:hAnsi="Times New Roman"/>
          <w:b/>
          <w:iCs/>
          <w:sz w:val="24"/>
          <w:szCs w:val="24"/>
        </w:rPr>
        <w:t>12</w:t>
      </w:r>
      <w:r>
        <w:rPr>
          <w:rFonts w:ascii="Times New Roman" w:hAnsi="Times New Roman"/>
          <w:b/>
          <w:sz w:val="24"/>
          <w:szCs w:val="24"/>
        </w:rPr>
        <w:t xml:space="preserve"> (doze)</w:t>
      </w:r>
      <w:r>
        <w:rPr>
          <w:rFonts w:ascii="Times New Roman" w:hAnsi="Times New Roman"/>
          <w:iCs/>
          <w:sz w:val="24"/>
          <w:szCs w:val="24"/>
        </w:rPr>
        <w:t xml:space="preserve"> meses podendo ser prorrogado mediante acordo entre as partes e nos termos da Lei 8.666/93.</w:t>
      </w:r>
    </w:p>
    <w:p>
      <w:pPr>
        <w:ind w:left="142"/>
        <w:jc w:val="both"/>
        <w:rPr>
          <w:sz w:val="24"/>
          <w:szCs w:val="24"/>
        </w:rPr>
      </w:pPr>
    </w:p>
    <w:p>
      <w:pPr>
        <w:keepNext/>
        <w:keepLines/>
        <w:widowControl w:val="0"/>
        <w:spacing w:before="20"/>
        <w:jc w:val="both"/>
        <w:rPr>
          <w:b/>
          <w:iCs/>
          <w:sz w:val="24"/>
          <w:szCs w:val="24"/>
        </w:rPr>
      </w:pPr>
      <w:r>
        <w:rPr>
          <w:b/>
          <w:iCs/>
          <w:sz w:val="24"/>
          <w:szCs w:val="24"/>
        </w:rPr>
        <w:t>CLÁUSULA OITAVA – DA EXECUÇÃO</w:t>
      </w:r>
    </w:p>
    <w:p>
      <w:pPr>
        <w:pStyle w:val="46"/>
        <w:numPr>
          <w:ilvl w:val="1"/>
          <w:numId w:val="23"/>
        </w:numPr>
        <w:overflowPunct w:val="0"/>
        <w:autoSpaceDE w:val="0"/>
        <w:autoSpaceDN w:val="0"/>
        <w:adjustRightInd w:val="0"/>
        <w:spacing w:after="0" w:line="240" w:lineRule="auto"/>
        <w:jc w:val="both"/>
        <w:textAlignment w:val="baseline"/>
        <w:rPr>
          <w:sz w:val="24"/>
          <w:szCs w:val="24"/>
        </w:rPr>
      </w:pPr>
      <w:r>
        <w:rPr>
          <w:rFonts w:ascii="Times New Roman" w:hAnsi="Times New Roman"/>
          <w:sz w:val="24"/>
          <w:szCs w:val="24"/>
        </w:rPr>
        <w:t>- O serviço só poderá ser iniciado após a emissão da Ordem de Serviços pela Gerência de Obras.</w:t>
      </w:r>
    </w:p>
    <w:p>
      <w:pPr>
        <w:pStyle w:val="46"/>
        <w:numPr>
          <w:numId w:val="0"/>
        </w:numPr>
        <w:overflowPunct w:val="0"/>
        <w:autoSpaceDE w:val="0"/>
        <w:autoSpaceDN w:val="0"/>
        <w:adjustRightInd w:val="0"/>
        <w:spacing w:after="0" w:line="240" w:lineRule="auto"/>
        <w:jc w:val="both"/>
        <w:textAlignment w:val="baseline"/>
        <w:rPr>
          <w:sz w:val="24"/>
          <w:szCs w:val="24"/>
        </w:rPr>
      </w:pPr>
    </w:p>
    <w:p>
      <w:pPr>
        <w:pStyle w:val="46"/>
        <w:numPr>
          <w:ilvl w:val="1"/>
          <w:numId w:val="23"/>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Normas, Manuais, Instruções e Especificações vigentes na ABNT (Associação Brasileira de Normas Técnicas) deverão ser obedecidas. Qualquer alteração na sistemática por elas estabelecida com a respectiva justificativa será submetida à consideração da Prefeitura, a quem caberá decidir a orientação a ser adotada.</w:t>
      </w:r>
    </w:p>
    <w:p>
      <w:pPr>
        <w:ind w:left="567"/>
        <w:contextualSpacing/>
        <w:jc w:val="both"/>
        <w:rPr>
          <w:rFonts w:eastAsia="Calibri"/>
          <w:sz w:val="24"/>
          <w:szCs w:val="24"/>
        </w:rPr>
      </w:pPr>
    </w:p>
    <w:p>
      <w:pPr>
        <w:numPr>
          <w:ilvl w:val="1"/>
          <w:numId w:val="23"/>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Todo pessoal da contratada </w:t>
      </w:r>
      <w:r>
        <w:rPr>
          <w:b/>
          <w:sz w:val="24"/>
          <w:szCs w:val="24"/>
        </w:rPr>
        <w:t>deverá</w:t>
      </w:r>
      <w:r>
        <w:rPr>
          <w:sz w:val="24"/>
          <w:szCs w:val="24"/>
        </w:rPr>
        <w:t xml:space="preserve"> possuir habilitação e experiência para executar adequadamente os serviços que lhes forem atribuídos.   </w:t>
      </w:r>
    </w:p>
    <w:p>
      <w:pPr>
        <w:ind w:left="567"/>
        <w:jc w:val="both"/>
        <w:rPr>
          <w:sz w:val="24"/>
          <w:szCs w:val="24"/>
        </w:rPr>
      </w:pPr>
    </w:p>
    <w:p>
      <w:pPr>
        <w:numPr>
          <w:ilvl w:val="1"/>
          <w:numId w:val="23"/>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Qualquer empregado da empresa, que na opinião da fiscalização não executar o seu trabalho de maneira correta e adequada, </w:t>
      </w:r>
      <w:r>
        <w:rPr>
          <w:b/>
          <w:sz w:val="24"/>
          <w:szCs w:val="24"/>
        </w:rPr>
        <w:t>deverá</w:t>
      </w:r>
      <w:r>
        <w:rPr>
          <w:sz w:val="24"/>
          <w:szCs w:val="24"/>
        </w:rPr>
        <w:t xml:space="preserve"> mediante solicitação por escrito da fiscalização, ser afastado imediatamente pela contratada.</w:t>
      </w:r>
    </w:p>
    <w:p>
      <w:pPr>
        <w:ind w:left="567"/>
        <w:jc w:val="both"/>
        <w:rPr>
          <w:sz w:val="24"/>
          <w:szCs w:val="24"/>
        </w:rPr>
      </w:pPr>
    </w:p>
    <w:p>
      <w:pPr>
        <w:pStyle w:val="46"/>
        <w:overflowPunct w:val="0"/>
        <w:autoSpaceDE w:val="0"/>
        <w:autoSpaceDN w:val="0"/>
        <w:adjustRightInd w:val="0"/>
        <w:spacing w:after="0" w:line="240" w:lineRule="auto"/>
        <w:ind w:left="0"/>
        <w:jc w:val="both"/>
        <w:textAlignment w:val="baseline"/>
        <w:rPr>
          <w:rFonts w:ascii="Times New Roman" w:hAnsi="Times New Roman"/>
          <w:sz w:val="24"/>
          <w:szCs w:val="24"/>
        </w:rPr>
      </w:pPr>
      <w:r>
        <w:rPr>
          <w:rFonts w:ascii="Times New Roman" w:hAnsi="Times New Roman"/>
          <w:sz w:val="24"/>
          <w:szCs w:val="24"/>
        </w:rPr>
        <w:t xml:space="preserve">8.5- A contratada deverá realizar os serviços com equipamento adequado de modo a atender ás exigências dos serviços e produzir a quantidade e qualidade satisfatória dos mesmos. </w:t>
      </w:r>
    </w:p>
    <w:p>
      <w:pPr>
        <w:pStyle w:val="46"/>
        <w:rPr>
          <w:rFonts w:ascii="Times New Roman" w:hAnsi="Times New Roman"/>
          <w:sz w:val="24"/>
          <w:szCs w:val="24"/>
        </w:rPr>
      </w:pPr>
    </w:p>
    <w:p>
      <w:pPr>
        <w:pStyle w:val="46"/>
        <w:numPr>
          <w:ilvl w:val="1"/>
          <w:numId w:val="2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Será de inteira responsabilidade da contratada, efetuar todos os serviços de projeto de engenharia, topografia, locação laboratório, necessário á realização dos trabalhos.</w:t>
      </w:r>
    </w:p>
    <w:p>
      <w:pPr>
        <w:jc w:val="both"/>
        <w:rPr>
          <w:bCs/>
          <w:sz w:val="24"/>
          <w:szCs w:val="24"/>
        </w:rPr>
      </w:pPr>
    </w:p>
    <w:p>
      <w:pPr>
        <w:keepNext/>
        <w:keepLines/>
        <w:widowControl w:val="0"/>
        <w:spacing w:before="20"/>
        <w:jc w:val="both"/>
        <w:rPr>
          <w:b/>
          <w:iCs/>
          <w:sz w:val="24"/>
          <w:szCs w:val="24"/>
        </w:rPr>
      </w:pPr>
      <w:r>
        <w:rPr>
          <w:b/>
          <w:iCs/>
          <w:sz w:val="24"/>
          <w:szCs w:val="24"/>
        </w:rPr>
        <w:t>CLÁUSULA NONA - DAS OBRIGAÇÕES DA CONTRATADA</w:t>
      </w:r>
    </w:p>
    <w:p>
      <w:pPr>
        <w:pStyle w:val="46"/>
        <w:numPr>
          <w:ilvl w:val="1"/>
          <w:numId w:val="25"/>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 empresa contratada fica obrigada a aceitar, nas mesmas condições de contrato, os acréscimos ou supressões dos serviços até o limite de 25% (vinte e cinco por cento) do valor inicial atualizado do contrato, conforme dispõe o parágrafo 1º do art. 65 da Lei 8.666/93;</w:t>
      </w:r>
    </w:p>
    <w:p>
      <w:pPr>
        <w:ind w:left="567"/>
        <w:jc w:val="both"/>
        <w:rPr>
          <w:sz w:val="24"/>
          <w:szCs w:val="24"/>
        </w:rPr>
      </w:pPr>
    </w:p>
    <w:p>
      <w:pPr>
        <w:pStyle w:val="46"/>
        <w:numPr>
          <w:ilvl w:val="1"/>
          <w:numId w:val="25"/>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Atender as reclamações por parte do encarregado dos serviços;</w:t>
      </w:r>
    </w:p>
    <w:p>
      <w:pPr>
        <w:ind w:left="567"/>
        <w:jc w:val="both"/>
        <w:rPr>
          <w:snapToGrid w:val="0"/>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sz w:val="24"/>
          <w:szCs w:val="24"/>
        </w:rPr>
        <w:t>Obrigar-se-á manter durante a vigência do contrato, em compatibilidade as obrigações assumidas, todas as condições de habilitação e qualificação exigidas na licitação, devendo comunicar a Contratante, imediatamente, qualquer alteração que possa comprometer a manutenção do presente instrumento;</w:t>
      </w:r>
    </w:p>
    <w:p>
      <w:pPr>
        <w:ind w:left="567"/>
        <w:jc w:val="both"/>
        <w:rPr>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sz w:val="24"/>
          <w:szCs w:val="24"/>
        </w:rPr>
        <w:t>Assumir, com exclusividade, todos os impostos e taxas que forem devidos em decorrência do objeto deste contrato, bem como as contribuições devidas a Previdência Social, encargos trabalhistas, prêmios de seguro e de acidentes de trabalho e outras despesas que fizerem necessárias ao cumprimento do objeto pactuado, no que couber.</w:t>
      </w:r>
    </w:p>
    <w:p>
      <w:pPr>
        <w:ind w:left="567"/>
        <w:jc w:val="both"/>
        <w:rPr>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Contratada obriga-se a reparar, corrigir, remover, reconstruir ou substituir, às suas expensas, no total ou em parte, o objeto do contrato em que se verificarem vícios, defeitos ou incorreções resultantes da execução ou materiais empregados. </w:t>
      </w:r>
    </w:p>
    <w:p>
      <w:pPr>
        <w:ind w:left="567"/>
        <w:contextualSpacing/>
        <w:jc w:val="both"/>
        <w:rPr>
          <w:rFonts w:eastAsia="Calibri"/>
          <w:iCs/>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contextualSpacing/>
        <w:jc w:val="both"/>
        <w:rPr>
          <w:rFonts w:eastAsia="Calibri"/>
          <w:snapToGrid w:val="0"/>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snapToGrid w:val="0"/>
          <w:sz w:val="24"/>
          <w:szCs w:val="24"/>
        </w:rPr>
        <w:t xml:space="preserve">Aplicar-se-á em todos os casos, os dispositivos da Lei Federal nº. 8.666/93 e Alterações posteriores. </w:t>
      </w:r>
    </w:p>
    <w:p>
      <w:pPr>
        <w:ind w:left="567"/>
        <w:jc w:val="both"/>
        <w:rPr>
          <w:sz w:val="24"/>
          <w:szCs w:val="24"/>
        </w:rPr>
      </w:pPr>
    </w:p>
    <w:p>
      <w:pPr>
        <w:numPr>
          <w:ilvl w:val="1"/>
          <w:numId w:val="25"/>
        </w:numPr>
        <w:overflowPunct w:val="0"/>
        <w:autoSpaceDE w:val="0"/>
        <w:autoSpaceDN w:val="0"/>
        <w:adjustRightInd w:val="0"/>
        <w:spacing w:after="0" w:line="240" w:lineRule="auto"/>
        <w:ind w:left="567" w:hanging="567"/>
        <w:jc w:val="both"/>
        <w:textAlignment w:val="baseline"/>
        <w:rPr>
          <w:sz w:val="24"/>
          <w:szCs w:val="24"/>
        </w:rPr>
      </w:pPr>
      <w:r>
        <w:rPr>
          <w:sz w:val="24"/>
          <w:szCs w:val="24"/>
        </w:rPr>
        <w:t>Os custos que vierem a ocorrer devido a Tarifa de Vistoria Extra, serão de responsabilidade da Empresa contratada.</w:t>
      </w:r>
    </w:p>
    <w:p>
      <w:pPr>
        <w:autoSpaceDE w:val="0"/>
        <w:autoSpaceDN w:val="0"/>
        <w:adjustRightInd w:val="0"/>
        <w:spacing w:after="0" w:line="240" w:lineRule="auto"/>
        <w:jc w:val="both"/>
        <w:rPr>
          <w:rFonts w:ascii="Times New Roman" w:hAnsi="Times New Roman"/>
          <w:sz w:val="24"/>
          <w:szCs w:val="24"/>
        </w:rPr>
      </w:pPr>
    </w:p>
    <w:p>
      <w:pPr>
        <w:autoSpaceDE w:val="0"/>
        <w:autoSpaceDN w:val="0"/>
        <w:adjustRightInd w:val="0"/>
        <w:spacing w:after="0" w:line="240" w:lineRule="auto"/>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Responder em rela</w:t>
      </w:r>
      <w:r>
        <w:rPr>
          <w:rFonts w:hint="default" w:ascii="Times New Roman" w:hAnsi="Times New Roman"/>
          <w:sz w:val="24"/>
          <w:szCs w:val="24"/>
          <w:lang w:val="pt-BR"/>
        </w:rPr>
        <w:t>çã</w:t>
      </w:r>
      <w:r>
        <w:rPr>
          <w:rFonts w:ascii="Times New Roman" w:hAnsi="Times New Roman"/>
          <w:sz w:val="24"/>
          <w:szCs w:val="24"/>
        </w:rPr>
        <w:t>o a seus empregados, por todas as despesas decorrentes da execu</w:t>
      </w:r>
      <w:r>
        <w:rPr>
          <w:rFonts w:hint="default" w:ascii="Times New Roman" w:hAnsi="Times New Roman"/>
          <w:sz w:val="24"/>
          <w:szCs w:val="24"/>
          <w:lang w:val="pt-BR"/>
        </w:rPr>
        <w:t>ç</w:t>
      </w:r>
      <w:r>
        <w:rPr>
          <w:rFonts w:ascii="Times New Roman" w:hAnsi="Times New Roman"/>
          <w:sz w:val="24"/>
          <w:szCs w:val="24"/>
        </w:rPr>
        <w:t>ao dos se</w:t>
      </w:r>
      <w:r>
        <w:rPr>
          <w:rFonts w:hint="default" w:ascii="Times New Roman" w:hAnsi="Times New Roman"/>
          <w:sz w:val="24"/>
          <w:szCs w:val="24"/>
          <w:lang w:val="pt-BR"/>
        </w:rPr>
        <w:t>rv</w:t>
      </w:r>
      <w:r>
        <w:rPr>
          <w:rFonts w:ascii="Times New Roman" w:hAnsi="Times New Roman"/>
          <w:sz w:val="24"/>
          <w:szCs w:val="24"/>
        </w:rPr>
        <w:t>i</w:t>
      </w:r>
      <w:r>
        <w:rPr>
          <w:rFonts w:hint="default" w:ascii="Times New Roman" w:hAnsi="Times New Roman"/>
          <w:sz w:val="24"/>
          <w:szCs w:val="24"/>
          <w:lang w:val="pt-BR"/>
        </w:rPr>
        <w:t>ç</w:t>
      </w:r>
      <w:r>
        <w:rPr>
          <w:rFonts w:ascii="Times New Roman" w:hAnsi="Times New Roman"/>
          <w:sz w:val="24"/>
          <w:szCs w:val="24"/>
        </w:rPr>
        <w:t>os, tais como sal</w:t>
      </w:r>
      <w:r>
        <w:rPr>
          <w:rFonts w:hint="default" w:ascii="Times New Roman" w:hAnsi="Times New Roman"/>
          <w:sz w:val="24"/>
          <w:szCs w:val="24"/>
          <w:lang w:val="pt-BR"/>
        </w:rPr>
        <w:t>á</w:t>
      </w:r>
      <w:r>
        <w:rPr>
          <w:rFonts w:ascii="Times New Roman" w:hAnsi="Times New Roman"/>
          <w:sz w:val="24"/>
          <w:szCs w:val="24"/>
        </w:rPr>
        <w:t>rios, seguro de acidente, taxas, impostos, contribuigoes</w:t>
      </w:r>
      <w:r>
        <w:rPr>
          <w:rFonts w:hint="default"/>
          <w:sz w:val="24"/>
          <w:szCs w:val="24"/>
          <w:lang w:val="pt-BR"/>
        </w:rPr>
        <w:t xml:space="preserve"> </w:t>
      </w:r>
      <w:r>
        <w:rPr>
          <w:rFonts w:ascii="Times New Roman" w:hAnsi="Times New Roman"/>
          <w:sz w:val="24"/>
          <w:szCs w:val="24"/>
        </w:rPr>
        <w:t>indeniza</w:t>
      </w:r>
      <w:r>
        <w:rPr>
          <w:rFonts w:hint="default" w:ascii="Times New Roman" w:hAnsi="Times New Roman"/>
          <w:sz w:val="24"/>
          <w:szCs w:val="24"/>
          <w:lang w:val="pt-BR"/>
        </w:rPr>
        <w:t>çõ</w:t>
      </w:r>
      <w:r>
        <w:rPr>
          <w:rFonts w:ascii="Times New Roman" w:hAnsi="Times New Roman"/>
          <w:sz w:val="24"/>
          <w:szCs w:val="24"/>
        </w:rPr>
        <w:t>es, vaIe</w:t>
      </w:r>
      <w:r>
        <w:rPr>
          <w:rFonts w:hint="default" w:ascii="Times New Roman" w:hAnsi="Times New Roman"/>
          <w:sz w:val="24"/>
          <w:szCs w:val="24"/>
          <w:lang w:val="pt-BR"/>
        </w:rPr>
        <w:t xml:space="preserve"> r</w:t>
      </w:r>
      <w:r>
        <w:rPr>
          <w:rFonts w:ascii="Times New Roman" w:hAnsi="Times New Roman"/>
          <w:sz w:val="24"/>
          <w:szCs w:val="24"/>
        </w:rPr>
        <w:t>efei</w:t>
      </w:r>
      <w:r>
        <w:rPr>
          <w:rFonts w:hint="default" w:ascii="Times New Roman" w:hAnsi="Times New Roman"/>
          <w:sz w:val="24"/>
          <w:szCs w:val="24"/>
          <w:lang w:val="pt-BR"/>
        </w:rPr>
        <w:t>çã</w:t>
      </w:r>
      <w:r>
        <w:rPr>
          <w:rFonts w:ascii="Times New Roman" w:hAnsi="Times New Roman"/>
          <w:sz w:val="24"/>
          <w:szCs w:val="24"/>
        </w:rPr>
        <w:t>o, vale-transporte e outras que por</w:t>
      </w:r>
      <w:r>
        <w:rPr>
          <w:rFonts w:hint="default" w:ascii="Times New Roman" w:hAnsi="Times New Roman"/>
          <w:sz w:val="24"/>
          <w:szCs w:val="24"/>
          <w:lang w:val="pt-BR"/>
        </w:rPr>
        <w:t xml:space="preserve"> </w:t>
      </w:r>
      <w:r>
        <w:rPr>
          <w:rFonts w:ascii="Times New Roman" w:hAnsi="Times New Roman"/>
          <w:sz w:val="24"/>
          <w:szCs w:val="24"/>
        </w:rPr>
        <w:t>ventura s</w:t>
      </w:r>
      <w:r>
        <w:rPr>
          <w:rFonts w:hint="default" w:ascii="Times New Roman" w:hAnsi="Times New Roman"/>
          <w:sz w:val="24"/>
          <w:szCs w:val="24"/>
          <w:lang w:val="pt-BR"/>
        </w:rPr>
        <w:t>ã</w:t>
      </w:r>
      <w:r>
        <w:rPr>
          <w:rFonts w:ascii="Times New Roman" w:hAnsi="Times New Roman"/>
          <w:sz w:val="24"/>
          <w:szCs w:val="24"/>
        </w:rPr>
        <w:t>o oferecidos pela CONTRATADA ou venham a ser criadas e exigidas por autoridades governamentais;</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hint="default"/>
          <w:sz w:val="24"/>
          <w:szCs w:val="24"/>
          <w:lang w:val="pt-BR"/>
        </w:rPr>
      </w:pPr>
      <w:r>
        <w:rPr>
          <w:rFonts w:ascii="Times New Roman" w:hAnsi="Times New Roman"/>
          <w:sz w:val="24"/>
          <w:szCs w:val="24"/>
        </w:rPr>
        <w:t>Zelar pela perfeita execu</w:t>
      </w:r>
      <w:r>
        <w:rPr>
          <w:rFonts w:hint="default" w:ascii="Times New Roman" w:hAnsi="Times New Roman"/>
          <w:sz w:val="24"/>
          <w:szCs w:val="24"/>
          <w:lang w:val="pt-BR"/>
        </w:rPr>
        <w:t>çã</w:t>
      </w:r>
      <w:r>
        <w:rPr>
          <w:rFonts w:ascii="Times New Roman" w:hAnsi="Times New Roman"/>
          <w:sz w:val="24"/>
          <w:szCs w:val="24"/>
        </w:rPr>
        <w:t>o dos servi</w:t>
      </w:r>
      <w:r>
        <w:rPr>
          <w:rFonts w:hint="default" w:ascii="Times New Roman" w:hAnsi="Times New Roman"/>
          <w:sz w:val="24"/>
          <w:szCs w:val="24"/>
          <w:lang w:val="pt-BR"/>
        </w:rPr>
        <w:t>ç</w:t>
      </w:r>
      <w:r>
        <w:rPr>
          <w:rFonts w:ascii="Times New Roman" w:hAnsi="Times New Roman"/>
          <w:sz w:val="24"/>
          <w:szCs w:val="24"/>
        </w:rPr>
        <w:t>os contratados, devendo as falhas que por</w:t>
      </w:r>
      <w:r>
        <w:rPr>
          <w:rFonts w:hint="default" w:ascii="Times New Roman" w:hAnsi="Times New Roman"/>
          <w:sz w:val="24"/>
          <w:szCs w:val="24"/>
          <w:lang w:val="pt-BR"/>
        </w:rPr>
        <w:t xml:space="preserve"> </w:t>
      </w:r>
      <w:r>
        <w:rPr>
          <w:rFonts w:ascii="Times New Roman" w:hAnsi="Times New Roman"/>
          <w:sz w:val="24"/>
          <w:szCs w:val="24"/>
        </w:rPr>
        <w:t>ventura venham a ocorrer serem sanadas de imediato</w:t>
      </w:r>
      <w:r>
        <w:rPr>
          <w:rFonts w:hint="default"/>
          <w:sz w:val="24"/>
          <w:szCs w:val="24"/>
          <w:lang w:val="pt-BR"/>
        </w:rPr>
        <w:t>.</w:t>
      </w:r>
    </w:p>
    <w:p>
      <w:pPr>
        <w:numPr>
          <w:numId w:val="0"/>
        </w:numPr>
        <w:autoSpaceDE w:val="0"/>
        <w:autoSpaceDN w:val="0"/>
        <w:adjustRightInd w:val="0"/>
        <w:spacing w:after="0" w:line="240" w:lineRule="auto"/>
        <w:ind w:leftChars="0"/>
        <w:jc w:val="both"/>
        <w:rPr>
          <w:rFonts w:hint="default"/>
          <w:sz w:val="24"/>
          <w:szCs w:val="24"/>
          <w:lang w:val="pt-BR"/>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Prestar os servi</w:t>
      </w:r>
      <w:r>
        <w:rPr>
          <w:rFonts w:hint="default" w:ascii="Times New Roman" w:hAnsi="Times New Roman"/>
          <w:sz w:val="24"/>
          <w:szCs w:val="24"/>
          <w:lang w:val="pt-BR"/>
        </w:rPr>
        <w:t>ç</w:t>
      </w:r>
      <w:r>
        <w:rPr>
          <w:rFonts w:ascii="Times New Roman" w:hAnsi="Times New Roman"/>
          <w:sz w:val="24"/>
          <w:szCs w:val="24"/>
        </w:rPr>
        <w:t>os dentro dos par</w:t>
      </w:r>
      <w:r>
        <w:rPr>
          <w:rFonts w:hint="default" w:ascii="Times New Roman" w:hAnsi="Times New Roman"/>
          <w:sz w:val="24"/>
          <w:szCs w:val="24"/>
          <w:lang w:val="pt-BR"/>
        </w:rPr>
        <w:t>â</w:t>
      </w:r>
      <w:r>
        <w:rPr>
          <w:rFonts w:ascii="Times New Roman" w:hAnsi="Times New Roman"/>
          <w:sz w:val="24"/>
          <w:szCs w:val="24"/>
        </w:rPr>
        <w:t>metros e rotinas estabelecidos, em observ</w:t>
      </w:r>
      <w:r>
        <w:rPr>
          <w:rFonts w:hint="default" w:ascii="Times New Roman" w:hAnsi="Times New Roman"/>
          <w:sz w:val="24"/>
          <w:szCs w:val="24"/>
          <w:lang w:val="pt-BR"/>
        </w:rPr>
        <w:t>â</w:t>
      </w:r>
      <w:r>
        <w:rPr>
          <w:rFonts w:ascii="Times New Roman" w:hAnsi="Times New Roman"/>
          <w:sz w:val="24"/>
          <w:szCs w:val="24"/>
        </w:rPr>
        <w:t>ncia as</w:t>
      </w:r>
      <w:r>
        <w:rPr>
          <w:rFonts w:hint="default" w:ascii="Times New Roman" w:hAnsi="Times New Roman"/>
          <w:sz w:val="24"/>
          <w:szCs w:val="24"/>
          <w:lang w:val="pt-BR"/>
        </w:rPr>
        <w:t xml:space="preserve"> </w:t>
      </w:r>
      <w:r>
        <w:rPr>
          <w:rFonts w:ascii="Times New Roman" w:hAnsi="Times New Roman"/>
          <w:sz w:val="24"/>
          <w:szCs w:val="24"/>
        </w:rPr>
        <w:t xml:space="preserve">normas </w:t>
      </w:r>
      <w:r>
        <w:rPr>
          <w:rFonts w:hint="default" w:ascii="Times New Roman" w:hAnsi="Times New Roman"/>
          <w:sz w:val="24"/>
          <w:szCs w:val="24"/>
          <w:lang w:val="pt-BR"/>
        </w:rPr>
        <w:t>l</w:t>
      </w:r>
      <w:r>
        <w:rPr>
          <w:rFonts w:ascii="Times New Roman" w:hAnsi="Times New Roman"/>
          <w:sz w:val="24"/>
          <w:szCs w:val="24"/>
        </w:rPr>
        <w:t>egais e regulamentares aplic</w:t>
      </w:r>
      <w:r>
        <w:rPr>
          <w:rFonts w:hint="default" w:ascii="Times New Roman" w:hAnsi="Times New Roman"/>
          <w:sz w:val="24"/>
          <w:szCs w:val="24"/>
          <w:lang w:val="pt-BR"/>
        </w:rPr>
        <w:t>á</w:t>
      </w:r>
      <w:r>
        <w:rPr>
          <w:rFonts w:ascii="Times New Roman" w:hAnsi="Times New Roman"/>
          <w:sz w:val="24"/>
          <w:szCs w:val="24"/>
        </w:rPr>
        <w:t>veis e as recomenda</w:t>
      </w:r>
      <w:r>
        <w:rPr>
          <w:rFonts w:hint="default" w:ascii="Times New Roman" w:hAnsi="Times New Roman"/>
          <w:sz w:val="24"/>
          <w:szCs w:val="24"/>
          <w:lang w:val="pt-BR"/>
        </w:rPr>
        <w:t>ções</w:t>
      </w:r>
      <w:r>
        <w:rPr>
          <w:rFonts w:ascii="Times New Roman" w:hAnsi="Times New Roman"/>
          <w:sz w:val="24"/>
          <w:szCs w:val="24"/>
        </w:rPr>
        <w:t xml:space="preserve"> aceitas pela boa técnica;</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Implantar, de forma adequada, a supervis</w:t>
      </w:r>
      <w:r>
        <w:rPr>
          <w:rFonts w:hint="default" w:ascii="Times New Roman" w:hAnsi="Times New Roman"/>
          <w:sz w:val="24"/>
          <w:szCs w:val="24"/>
          <w:lang w:val="pt-BR"/>
        </w:rPr>
        <w:t>ã</w:t>
      </w:r>
      <w:r>
        <w:rPr>
          <w:rFonts w:ascii="Times New Roman" w:hAnsi="Times New Roman"/>
          <w:sz w:val="24"/>
          <w:szCs w:val="24"/>
        </w:rPr>
        <w:t>o permanente dos servi</w:t>
      </w:r>
      <w:r>
        <w:rPr>
          <w:rFonts w:hint="default" w:ascii="Times New Roman" w:hAnsi="Times New Roman"/>
          <w:sz w:val="24"/>
          <w:szCs w:val="24"/>
          <w:lang w:val="pt-BR"/>
        </w:rPr>
        <w:t>ç</w:t>
      </w:r>
      <w:r>
        <w:rPr>
          <w:rFonts w:ascii="Times New Roman" w:hAnsi="Times New Roman"/>
          <w:sz w:val="24"/>
          <w:szCs w:val="24"/>
        </w:rPr>
        <w:t>os, de modo a obter</w:t>
      </w:r>
      <w:r>
        <w:rPr>
          <w:rFonts w:hint="default" w:ascii="Times New Roman" w:hAnsi="Times New Roman"/>
          <w:sz w:val="24"/>
          <w:szCs w:val="24"/>
          <w:lang w:val="pt-BR"/>
        </w:rPr>
        <w:t xml:space="preserve"> </w:t>
      </w:r>
      <w:r>
        <w:rPr>
          <w:rFonts w:ascii="Times New Roman" w:hAnsi="Times New Roman"/>
          <w:sz w:val="24"/>
          <w:szCs w:val="24"/>
        </w:rPr>
        <w:t>uma opera</w:t>
      </w:r>
      <w:r>
        <w:rPr>
          <w:rFonts w:hint="default" w:ascii="Times New Roman" w:hAnsi="Times New Roman"/>
          <w:sz w:val="24"/>
          <w:szCs w:val="24"/>
          <w:lang w:val="pt-BR"/>
        </w:rPr>
        <w:t>çã</w:t>
      </w:r>
      <w:r>
        <w:rPr>
          <w:rFonts w:ascii="Times New Roman" w:hAnsi="Times New Roman"/>
          <w:sz w:val="24"/>
          <w:szCs w:val="24"/>
        </w:rPr>
        <w:t>o correta e eficaz;</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Prestar todos os esclarecimentos que forem solicitados pelo CONTRATANTE, bem como atender prontamente as reclama</w:t>
      </w:r>
      <w:r>
        <w:rPr>
          <w:rFonts w:hint="default" w:ascii="Times New Roman" w:hAnsi="Times New Roman"/>
          <w:sz w:val="24"/>
          <w:szCs w:val="24"/>
          <w:lang w:val="pt-BR"/>
        </w:rPr>
        <w:t>çõ</w:t>
      </w:r>
      <w:r>
        <w:rPr>
          <w:rFonts w:ascii="Times New Roman" w:hAnsi="Times New Roman"/>
          <w:sz w:val="24"/>
          <w:szCs w:val="24"/>
        </w:rPr>
        <w:t>es que lhe forem apresentadas, relacionadas com a execu</w:t>
      </w:r>
      <w:r>
        <w:rPr>
          <w:rFonts w:hint="default" w:ascii="Times New Roman" w:hAnsi="Times New Roman"/>
          <w:sz w:val="24"/>
          <w:szCs w:val="24"/>
          <w:lang w:val="pt-BR"/>
        </w:rPr>
        <w:t>çã</w:t>
      </w:r>
      <w:r>
        <w:rPr>
          <w:rFonts w:ascii="Times New Roman" w:hAnsi="Times New Roman"/>
          <w:sz w:val="24"/>
          <w:szCs w:val="24"/>
        </w:rPr>
        <w:t>o do Contrato;</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Responder pelas despesas resultantes de quaisquer a</w:t>
      </w:r>
      <w:r>
        <w:rPr>
          <w:rFonts w:hint="default" w:ascii="Times New Roman" w:hAnsi="Times New Roman"/>
          <w:sz w:val="24"/>
          <w:szCs w:val="24"/>
          <w:lang w:val="pt-BR"/>
        </w:rPr>
        <w:t>çõ</w:t>
      </w:r>
      <w:r>
        <w:rPr>
          <w:rFonts w:ascii="Times New Roman" w:hAnsi="Times New Roman"/>
          <w:sz w:val="24"/>
          <w:szCs w:val="24"/>
        </w:rPr>
        <w:t>es, demandas decorrentes de danos seja por sua culpa ou quaisquer de seus empregados e prepostos, obrigando-se, igualmente, por quaisquer responsabilidades decorrentes de ac</w:t>
      </w:r>
      <w:r>
        <w:rPr>
          <w:rFonts w:hint="default" w:ascii="Times New Roman" w:hAnsi="Times New Roman"/>
          <w:sz w:val="24"/>
          <w:szCs w:val="24"/>
          <w:lang w:val="pt-BR"/>
        </w:rPr>
        <w:t>ões</w:t>
      </w:r>
      <w:r>
        <w:rPr>
          <w:rFonts w:ascii="Times New Roman" w:hAnsi="Times New Roman"/>
          <w:sz w:val="24"/>
          <w:szCs w:val="24"/>
        </w:rPr>
        <w:t xml:space="preserve"> judiciais de terceiros, que Ihes venham a ser exigidas por forga de Lei, ligadas ao cumprimento do presente Contrato;</w:t>
      </w: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 xml:space="preserve">Utilizar técnicas condizentes com </w:t>
      </w:r>
      <w:r>
        <w:rPr>
          <w:rFonts w:hint="default" w:ascii="Times New Roman" w:hAnsi="Times New Roman"/>
          <w:sz w:val="24"/>
          <w:szCs w:val="24"/>
          <w:lang w:val="pt-BR"/>
        </w:rPr>
        <w:t>o serviço</w:t>
      </w:r>
      <w:r>
        <w:rPr>
          <w:rFonts w:ascii="Times New Roman" w:hAnsi="Times New Roman"/>
          <w:sz w:val="24"/>
          <w:szCs w:val="24"/>
        </w:rPr>
        <w:t xml:space="preserve"> de ASSESSORIA /FISCALIZA</w:t>
      </w:r>
      <w:r>
        <w:rPr>
          <w:rFonts w:hint="default" w:ascii="Times New Roman" w:hAnsi="Times New Roman"/>
          <w:sz w:val="24"/>
          <w:szCs w:val="24"/>
          <w:lang w:val="pt-BR"/>
        </w:rPr>
        <w:t>ÇÃ</w:t>
      </w:r>
      <w:r>
        <w:rPr>
          <w:rFonts w:ascii="Times New Roman" w:hAnsi="Times New Roman"/>
          <w:sz w:val="24"/>
          <w:szCs w:val="24"/>
        </w:rPr>
        <w:t>O/CONSULTORIA/SUPERVISAO/ ASSIST</w:t>
      </w:r>
      <w:r>
        <w:rPr>
          <w:rFonts w:hint="default" w:ascii="Times New Roman" w:hAnsi="Times New Roman"/>
          <w:sz w:val="24"/>
          <w:szCs w:val="24"/>
          <w:lang w:val="pt-BR"/>
        </w:rPr>
        <w:t>Ê</w:t>
      </w:r>
      <w:r>
        <w:rPr>
          <w:rFonts w:ascii="Times New Roman" w:hAnsi="Times New Roman"/>
          <w:sz w:val="24"/>
          <w:szCs w:val="24"/>
        </w:rPr>
        <w:t>NCIA a ser prestado, utilizando-se de todos os esforgos para a sua execu</w:t>
      </w:r>
      <w:r>
        <w:rPr>
          <w:rFonts w:hint="default" w:ascii="Times New Roman" w:hAnsi="Times New Roman"/>
          <w:sz w:val="24"/>
          <w:szCs w:val="24"/>
          <w:lang w:val="pt-BR"/>
        </w:rPr>
        <w:t>çã</w:t>
      </w:r>
      <w:r>
        <w:rPr>
          <w:rFonts w:ascii="Times New Roman" w:hAnsi="Times New Roman"/>
          <w:sz w:val="24"/>
          <w:szCs w:val="24"/>
        </w:rPr>
        <w:t>o;</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Utilizar todo o seu corpo técnico para a realiza</w:t>
      </w:r>
      <w:r>
        <w:rPr>
          <w:rFonts w:hint="default" w:ascii="Times New Roman" w:hAnsi="Times New Roman"/>
          <w:sz w:val="24"/>
          <w:szCs w:val="24"/>
          <w:lang w:val="pt-BR"/>
        </w:rPr>
        <w:t>çã</w:t>
      </w:r>
      <w:r>
        <w:rPr>
          <w:rFonts w:ascii="Times New Roman" w:hAnsi="Times New Roman"/>
          <w:sz w:val="24"/>
          <w:szCs w:val="24"/>
        </w:rPr>
        <w:t>o de pesquisa e desenvolvimento na área assessorada, bem como para a solu</w:t>
      </w:r>
      <w:r>
        <w:rPr>
          <w:rFonts w:hint="default" w:ascii="Times New Roman" w:hAnsi="Times New Roman"/>
          <w:sz w:val="24"/>
          <w:szCs w:val="24"/>
          <w:lang w:val="pt-BR"/>
        </w:rPr>
        <w:t>çã</w:t>
      </w:r>
      <w:r>
        <w:rPr>
          <w:rFonts w:ascii="Times New Roman" w:hAnsi="Times New Roman"/>
          <w:sz w:val="24"/>
          <w:szCs w:val="24"/>
        </w:rPr>
        <w:t>o e preven</w:t>
      </w:r>
      <w:r>
        <w:rPr>
          <w:rFonts w:hint="default" w:ascii="Times New Roman" w:hAnsi="Times New Roman"/>
          <w:sz w:val="24"/>
          <w:szCs w:val="24"/>
          <w:lang w:val="pt-BR"/>
        </w:rPr>
        <w:t>çã</w:t>
      </w:r>
      <w:r>
        <w:rPr>
          <w:rFonts w:ascii="Times New Roman" w:hAnsi="Times New Roman"/>
          <w:sz w:val="24"/>
          <w:szCs w:val="24"/>
        </w:rPr>
        <w:t>o de eventuais problemas, nomeando um respons</w:t>
      </w:r>
      <w:r>
        <w:rPr>
          <w:rFonts w:hint="default" w:ascii="Times New Roman" w:hAnsi="Times New Roman"/>
          <w:sz w:val="24"/>
          <w:szCs w:val="24"/>
          <w:lang w:val="pt-BR"/>
        </w:rPr>
        <w:t>á</w:t>
      </w:r>
      <w:r>
        <w:rPr>
          <w:rFonts w:ascii="Times New Roman" w:hAnsi="Times New Roman"/>
          <w:sz w:val="24"/>
          <w:szCs w:val="24"/>
        </w:rPr>
        <w:t>vel para a administra</w:t>
      </w:r>
      <w:r>
        <w:rPr>
          <w:rFonts w:hint="default" w:ascii="Times New Roman" w:hAnsi="Times New Roman"/>
          <w:sz w:val="24"/>
          <w:szCs w:val="24"/>
          <w:lang w:val="pt-BR"/>
        </w:rPr>
        <w:t>çã</w:t>
      </w:r>
      <w:r>
        <w:rPr>
          <w:rFonts w:ascii="Times New Roman" w:hAnsi="Times New Roman"/>
          <w:sz w:val="24"/>
          <w:szCs w:val="24"/>
        </w:rPr>
        <w:t>o das atividades;</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Assumir a responsabilidade pelos encargos sociais, fiscais e comerciais resultantes da contrata</w:t>
      </w:r>
      <w:r>
        <w:rPr>
          <w:rFonts w:hint="default" w:ascii="Times New Roman" w:hAnsi="Times New Roman"/>
          <w:sz w:val="24"/>
          <w:szCs w:val="24"/>
          <w:lang w:val="pt-BR"/>
        </w:rPr>
        <w:t>çã</w:t>
      </w:r>
      <w:r>
        <w:rPr>
          <w:rFonts w:ascii="Times New Roman" w:hAnsi="Times New Roman"/>
          <w:sz w:val="24"/>
          <w:szCs w:val="24"/>
        </w:rPr>
        <w:t>o;</w:t>
      </w:r>
    </w:p>
    <w:p>
      <w:pPr>
        <w:numPr>
          <w:numId w:val="0"/>
        </w:numPr>
        <w:autoSpaceDE w:val="0"/>
        <w:autoSpaceDN w:val="0"/>
        <w:adjustRightInd w:val="0"/>
        <w:spacing w:after="0" w:line="240" w:lineRule="auto"/>
        <w:ind w:leftChars="0"/>
        <w:jc w:val="both"/>
        <w:rPr>
          <w:rFonts w:ascii="Times New Roman" w:hAnsi="Times New Roman"/>
          <w:sz w:val="24"/>
          <w:szCs w:val="24"/>
        </w:rPr>
      </w:pPr>
    </w:p>
    <w:p>
      <w:pPr>
        <w:numPr>
          <w:ilvl w:val="1"/>
          <w:numId w:val="25"/>
        </w:numPr>
        <w:autoSpaceDE w:val="0"/>
        <w:autoSpaceDN w:val="0"/>
        <w:adjustRightInd w:val="0"/>
        <w:spacing w:after="0" w:line="240" w:lineRule="auto"/>
        <w:ind w:left="567" w:leftChars="0" w:hanging="567" w:firstLineChars="0"/>
        <w:jc w:val="both"/>
        <w:rPr>
          <w:rFonts w:ascii="Times New Roman" w:hAnsi="Times New Roman"/>
          <w:sz w:val="24"/>
          <w:szCs w:val="24"/>
        </w:rPr>
      </w:pPr>
      <w:r>
        <w:rPr>
          <w:rFonts w:ascii="Times New Roman" w:hAnsi="Times New Roman"/>
          <w:sz w:val="24"/>
          <w:szCs w:val="24"/>
        </w:rPr>
        <w:t xml:space="preserve">Fica a critério da contratada </w:t>
      </w:r>
      <w:r>
        <w:rPr>
          <w:rFonts w:hint="default" w:ascii="Times New Roman" w:hAnsi="Times New Roman"/>
          <w:sz w:val="24"/>
          <w:szCs w:val="24"/>
          <w:lang w:val="pt-BR"/>
        </w:rPr>
        <w:t>o</w:t>
      </w:r>
      <w:r>
        <w:rPr>
          <w:rFonts w:ascii="Times New Roman" w:hAnsi="Times New Roman"/>
          <w:sz w:val="24"/>
          <w:szCs w:val="24"/>
        </w:rPr>
        <w:t xml:space="preserve"> estabelecimento do </w:t>
      </w:r>
      <w:r>
        <w:rPr>
          <w:rFonts w:hint="default" w:ascii="Times New Roman" w:hAnsi="Times New Roman"/>
          <w:sz w:val="24"/>
          <w:szCs w:val="24"/>
          <w:lang w:val="pt-BR"/>
        </w:rPr>
        <w:t>Nível</w:t>
      </w:r>
      <w:r>
        <w:rPr>
          <w:rFonts w:ascii="Times New Roman" w:hAnsi="Times New Roman"/>
          <w:sz w:val="24"/>
          <w:szCs w:val="24"/>
        </w:rPr>
        <w:t xml:space="preserve"> de desenvolvimento (LOD) – Level of Detailment que os elementos do projeto ter</w:t>
      </w:r>
      <w:r>
        <w:rPr>
          <w:rFonts w:hint="default" w:ascii="Times New Roman" w:hAnsi="Times New Roman"/>
          <w:sz w:val="24"/>
          <w:szCs w:val="24"/>
          <w:lang w:val="pt-BR"/>
        </w:rPr>
        <w:t>ã</w:t>
      </w:r>
      <w:r>
        <w:rPr>
          <w:rFonts w:ascii="Times New Roman" w:hAnsi="Times New Roman"/>
          <w:sz w:val="24"/>
          <w:szCs w:val="24"/>
        </w:rPr>
        <w:t>o.</w:t>
      </w:r>
    </w:p>
    <w:p>
      <w:pPr>
        <w:numPr>
          <w:numId w:val="0"/>
        </w:numPr>
        <w:autoSpaceDE w:val="0"/>
        <w:autoSpaceDN w:val="0"/>
        <w:adjustRightInd w:val="0"/>
        <w:spacing w:after="0" w:line="240" w:lineRule="auto"/>
        <w:ind w:leftChars="0"/>
        <w:jc w:val="both"/>
        <w:rPr>
          <w:rFonts w:ascii="Times New Roman" w:hAnsi="Times New Roman"/>
          <w:sz w:val="24"/>
          <w:szCs w:val="24"/>
        </w:rPr>
      </w:pPr>
    </w:p>
    <w:p>
      <w:pPr>
        <w:autoSpaceDE w:val="0"/>
        <w:autoSpaceDN w:val="0"/>
        <w:adjustRightInd w:val="0"/>
        <w:spacing w:after="0" w:line="240" w:lineRule="auto"/>
        <w:jc w:val="both"/>
        <w:rPr>
          <w:rFonts w:ascii="Times New Roman" w:hAnsi="Times New Roman"/>
          <w:sz w:val="24"/>
          <w:szCs w:val="24"/>
        </w:rPr>
      </w:pPr>
      <w:r>
        <w:rPr>
          <w:rFonts w:hint="default"/>
          <w:sz w:val="24"/>
          <w:szCs w:val="24"/>
          <w:lang w:val="pt-BR"/>
        </w:rPr>
        <w:t xml:space="preserve">9.19 </w:t>
      </w:r>
      <w:r>
        <w:rPr>
          <w:rFonts w:ascii="Times New Roman" w:hAnsi="Times New Roman"/>
          <w:sz w:val="24"/>
          <w:szCs w:val="24"/>
        </w:rPr>
        <w:t>Os servi</w:t>
      </w:r>
      <w:r>
        <w:rPr>
          <w:rFonts w:hint="default" w:ascii="Times New Roman" w:hAnsi="Times New Roman"/>
          <w:sz w:val="24"/>
          <w:szCs w:val="24"/>
          <w:lang w:val="pt-BR"/>
        </w:rPr>
        <w:t>ç</w:t>
      </w:r>
      <w:r>
        <w:rPr>
          <w:rFonts w:ascii="Times New Roman" w:hAnsi="Times New Roman"/>
          <w:sz w:val="24"/>
          <w:szCs w:val="24"/>
        </w:rPr>
        <w:t>os dever</w:t>
      </w:r>
      <w:r>
        <w:rPr>
          <w:rFonts w:hint="default" w:ascii="Times New Roman" w:hAnsi="Times New Roman"/>
          <w:sz w:val="24"/>
          <w:szCs w:val="24"/>
          <w:lang w:val="pt-BR"/>
        </w:rPr>
        <w:t>ã</w:t>
      </w:r>
      <w:r>
        <w:rPr>
          <w:rFonts w:ascii="Times New Roman" w:hAnsi="Times New Roman"/>
          <w:sz w:val="24"/>
          <w:szCs w:val="24"/>
        </w:rPr>
        <w:t>o ser executados com estrita observ</w:t>
      </w:r>
      <w:r>
        <w:rPr>
          <w:rFonts w:hint="default" w:ascii="Times New Roman" w:hAnsi="Times New Roman"/>
          <w:sz w:val="24"/>
          <w:szCs w:val="24"/>
          <w:lang w:val="pt-BR"/>
        </w:rPr>
        <w:t>â</w:t>
      </w:r>
      <w:r>
        <w:rPr>
          <w:rFonts w:ascii="Times New Roman" w:hAnsi="Times New Roman"/>
          <w:sz w:val="24"/>
          <w:szCs w:val="24"/>
        </w:rPr>
        <w:t>ncia da Lei de Li</w:t>
      </w:r>
      <w:r>
        <w:rPr>
          <w:rFonts w:hint="default" w:ascii="Times New Roman" w:hAnsi="Times New Roman"/>
          <w:sz w:val="24"/>
          <w:szCs w:val="24"/>
          <w:lang w:val="pt-BR"/>
        </w:rPr>
        <w:t>c</w:t>
      </w:r>
      <w:r>
        <w:rPr>
          <w:rFonts w:ascii="Times New Roman" w:hAnsi="Times New Roman"/>
          <w:sz w:val="24"/>
          <w:szCs w:val="24"/>
        </w:rPr>
        <w:t>ita</w:t>
      </w:r>
      <w:r>
        <w:rPr>
          <w:rFonts w:hint="default" w:ascii="Times New Roman" w:hAnsi="Times New Roman"/>
          <w:sz w:val="24"/>
          <w:szCs w:val="24"/>
          <w:lang w:val="pt-BR"/>
        </w:rPr>
        <w:t>çõ</w:t>
      </w:r>
      <w:r>
        <w:rPr>
          <w:rFonts w:ascii="Times New Roman" w:hAnsi="Times New Roman"/>
          <w:sz w:val="24"/>
          <w:szCs w:val="24"/>
        </w:rPr>
        <w:t>es n° 8.666/93 BI IWI e altera</w:t>
      </w:r>
      <w:r>
        <w:rPr>
          <w:rFonts w:hint="default" w:ascii="Times New Roman" w:hAnsi="Times New Roman"/>
          <w:sz w:val="24"/>
          <w:szCs w:val="24"/>
          <w:lang w:val="pt-BR"/>
        </w:rPr>
        <w:t>çõ</w:t>
      </w:r>
      <w:r>
        <w:rPr>
          <w:rFonts w:ascii="Times New Roman" w:hAnsi="Times New Roman"/>
          <w:sz w:val="24"/>
          <w:szCs w:val="24"/>
        </w:rPr>
        <w:t>es posteriores e demais legisla</w:t>
      </w:r>
      <w:r>
        <w:rPr>
          <w:rFonts w:hint="default" w:ascii="Times New Roman" w:hAnsi="Times New Roman"/>
          <w:sz w:val="24"/>
          <w:szCs w:val="24"/>
          <w:lang w:val="pt-BR"/>
        </w:rPr>
        <w:t>çõ</w:t>
      </w:r>
      <w:r>
        <w:rPr>
          <w:rFonts w:ascii="Times New Roman" w:hAnsi="Times New Roman"/>
          <w:sz w:val="24"/>
          <w:szCs w:val="24"/>
        </w:rPr>
        <w:t>es pertinentes.</w:t>
      </w: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DÉCIMA - DAS OBRIGAÇÕES DA CONTRATANTE</w:t>
      </w:r>
    </w:p>
    <w:p>
      <w:pPr>
        <w:pStyle w:val="46"/>
        <w:numPr>
          <w:ilvl w:val="1"/>
          <w:numId w:val="26"/>
        </w:numPr>
        <w:overflowPunct w:val="0"/>
        <w:autoSpaceDE w:val="0"/>
        <w:autoSpaceDN w:val="0"/>
        <w:adjustRightInd w:val="0"/>
        <w:spacing w:after="0" w:line="240" w:lineRule="auto"/>
        <w:ind w:left="567" w:hanging="27"/>
        <w:jc w:val="both"/>
        <w:textAlignment w:val="baseline"/>
        <w:rPr>
          <w:rFonts w:ascii="Times New Roman" w:hAnsi="Times New Roman"/>
          <w:snapToGrid w:val="0"/>
          <w:sz w:val="24"/>
          <w:szCs w:val="24"/>
        </w:rPr>
      </w:pPr>
      <w:r>
        <w:rPr>
          <w:rFonts w:ascii="Times New Roman" w:hAnsi="Times New Roman"/>
          <w:snapToGrid w:val="0"/>
          <w:sz w:val="24"/>
          <w:szCs w:val="24"/>
        </w:rPr>
        <w:t xml:space="preserve">Cumprir com pontualidade, todos os compromissos financeiros assumidos com a </w:t>
      </w:r>
      <w:r>
        <w:rPr>
          <w:rFonts w:ascii="Times New Roman" w:hAnsi="Times New Roman"/>
          <w:b/>
          <w:snapToGrid w:val="0"/>
          <w:sz w:val="24"/>
          <w:szCs w:val="24"/>
        </w:rPr>
        <w:t>CONTRATADA.</w:t>
      </w:r>
    </w:p>
    <w:p>
      <w:pPr>
        <w:jc w:val="both"/>
        <w:rPr>
          <w:snapToGrid w:val="0"/>
          <w:sz w:val="24"/>
          <w:szCs w:val="24"/>
        </w:rPr>
      </w:pPr>
    </w:p>
    <w:p>
      <w:pPr>
        <w:pStyle w:val="46"/>
        <w:numPr>
          <w:ilvl w:val="1"/>
          <w:numId w:val="26"/>
        </w:numPr>
        <w:overflowPunct w:val="0"/>
        <w:autoSpaceDE w:val="0"/>
        <w:autoSpaceDN w:val="0"/>
        <w:adjustRightInd w:val="0"/>
        <w:spacing w:after="0" w:line="240" w:lineRule="auto"/>
        <w:ind w:left="567" w:hanging="27"/>
        <w:jc w:val="both"/>
        <w:textAlignment w:val="baseline"/>
        <w:rPr>
          <w:rFonts w:ascii="Times New Roman" w:hAnsi="Times New Roman"/>
          <w:snapToGrid w:val="0"/>
          <w:sz w:val="24"/>
          <w:szCs w:val="24"/>
        </w:rPr>
      </w:pPr>
      <w:r>
        <w:rPr>
          <w:rFonts w:ascii="Times New Roman" w:hAnsi="Times New Roman"/>
          <w:color w:val="000000"/>
          <w:sz w:val="24"/>
          <w:szCs w:val="24"/>
        </w:rPr>
        <w:t xml:space="preserve">Notificar, formal e tempestivamente, a </w:t>
      </w:r>
      <w:r>
        <w:rPr>
          <w:rFonts w:ascii="Times New Roman" w:hAnsi="Times New Roman"/>
          <w:b/>
          <w:color w:val="000000"/>
          <w:sz w:val="24"/>
          <w:szCs w:val="24"/>
        </w:rPr>
        <w:t>CONTRATADA</w:t>
      </w:r>
      <w:r>
        <w:rPr>
          <w:rFonts w:ascii="Times New Roman" w:hAnsi="Times New Roman"/>
          <w:color w:val="000000"/>
          <w:sz w:val="24"/>
          <w:szCs w:val="24"/>
        </w:rPr>
        <w:t>, sobre as irregularidades observadas no cumprimento deste contrato ou qualquer outra dúvida relativa à execução do objeto desta licitação;</w:t>
      </w:r>
    </w:p>
    <w:p>
      <w:pPr>
        <w:ind w:left="567"/>
        <w:contextualSpacing/>
        <w:jc w:val="both"/>
        <w:rPr>
          <w:rFonts w:eastAsia="Calibri"/>
          <w:color w:val="000000"/>
          <w:sz w:val="24"/>
          <w:szCs w:val="24"/>
        </w:rPr>
      </w:pPr>
    </w:p>
    <w:p>
      <w:pPr>
        <w:numPr>
          <w:ilvl w:val="1"/>
          <w:numId w:val="26"/>
        </w:numPr>
        <w:overflowPunct w:val="0"/>
        <w:autoSpaceDE w:val="0"/>
        <w:autoSpaceDN w:val="0"/>
        <w:adjustRightInd w:val="0"/>
        <w:spacing w:after="0" w:line="240" w:lineRule="auto"/>
        <w:ind w:left="567" w:firstLine="0"/>
        <w:jc w:val="both"/>
        <w:textAlignment w:val="baseline"/>
        <w:rPr>
          <w:snapToGrid w:val="0"/>
          <w:sz w:val="24"/>
          <w:szCs w:val="24"/>
        </w:rPr>
      </w:pPr>
      <w:r>
        <w:rPr>
          <w:color w:val="000000"/>
          <w:sz w:val="24"/>
          <w:szCs w:val="24"/>
        </w:rPr>
        <w:t>Notificar a CONTRATADA, por escrito e com antecedência legal, sobre multas, penalidades e quaisquer débitos incidentes de sua responsabilidade.</w:t>
      </w:r>
    </w:p>
    <w:p>
      <w:pPr>
        <w:numPr>
          <w:numId w:val="0"/>
        </w:numPr>
        <w:overflowPunct w:val="0"/>
        <w:autoSpaceDE w:val="0"/>
        <w:autoSpaceDN w:val="0"/>
        <w:adjustRightInd w:val="0"/>
        <w:spacing w:after="0" w:line="240" w:lineRule="auto"/>
        <w:jc w:val="both"/>
        <w:textAlignment w:val="baseline"/>
        <w:rPr>
          <w:snapToGrid w:val="0"/>
          <w:sz w:val="24"/>
          <w:szCs w:val="24"/>
        </w:rPr>
      </w:pPr>
    </w:p>
    <w:p>
      <w:pPr>
        <w:numPr>
          <w:ilvl w:val="1"/>
          <w:numId w:val="26"/>
        </w:numPr>
        <w:autoSpaceDE w:val="0"/>
        <w:autoSpaceDN w:val="0"/>
        <w:adjustRightInd w:val="0"/>
        <w:spacing w:after="0" w:line="240" w:lineRule="auto"/>
        <w:ind w:left="567" w:leftChars="0" w:firstLine="0" w:firstLineChars="0"/>
        <w:jc w:val="both"/>
        <w:rPr>
          <w:rFonts w:ascii="Times New Roman" w:hAnsi="Times New Roman"/>
          <w:sz w:val="24"/>
          <w:szCs w:val="24"/>
        </w:rPr>
      </w:pPr>
      <w:r>
        <w:rPr>
          <w:rFonts w:ascii="Times New Roman" w:hAnsi="Times New Roman"/>
          <w:sz w:val="24"/>
          <w:szCs w:val="24"/>
        </w:rPr>
        <w:t xml:space="preserve"> Disponibilizar para a CONTRATADA todos os projetos, Cadernos de especifica</w:t>
      </w:r>
      <w:r>
        <w:rPr>
          <w:rFonts w:hint="default" w:ascii="Times New Roman" w:hAnsi="Times New Roman"/>
          <w:sz w:val="24"/>
          <w:szCs w:val="24"/>
          <w:lang w:val="pt-BR"/>
        </w:rPr>
        <w:t>ções e</w:t>
      </w:r>
      <w:r>
        <w:rPr>
          <w:rFonts w:ascii="Times New Roman" w:hAnsi="Times New Roman"/>
          <w:sz w:val="24"/>
          <w:szCs w:val="24"/>
        </w:rPr>
        <w:t xml:space="preserve"> planilhas or</w:t>
      </w:r>
      <w:r>
        <w:rPr>
          <w:rFonts w:hint="default" w:ascii="Times New Roman" w:hAnsi="Times New Roman"/>
          <w:sz w:val="24"/>
          <w:szCs w:val="24"/>
          <w:lang w:val="pt-BR"/>
        </w:rPr>
        <w:t>ç</w:t>
      </w:r>
      <w:r>
        <w:rPr>
          <w:rFonts w:ascii="Times New Roman" w:hAnsi="Times New Roman"/>
          <w:sz w:val="24"/>
          <w:szCs w:val="24"/>
        </w:rPr>
        <w:t>amentarias;</w:t>
      </w:r>
    </w:p>
    <w:p>
      <w:pPr>
        <w:numPr>
          <w:numId w:val="0"/>
        </w:numPr>
        <w:autoSpaceDE w:val="0"/>
        <w:autoSpaceDN w:val="0"/>
        <w:adjustRightInd w:val="0"/>
        <w:spacing w:after="0" w:line="240" w:lineRule="auto"/>
        <w:ind w:left="567" w:leftChars="0"/>
        <w:jc w:val="both"/>
        <w:rPr>
          <w:rFonts w:ascii="Times New Roman" w:hAnsi="Times New Roman"/>
          <w:sz w:val="24"/>
          <w:szCs w:val="24"/>
        </w:rPr>
      </w:pPr>
    </w:p>
    <w:p>
      <w:pPr>
        <w:autoSpaceDE w:val="0"/>
        <w:autoSpaceDN w:val="0"/>
        <w:adjustRightInd w:val="0"/>
        <w:spacing w:after="0" w:line="240" w:lineRule="auto"/>
        <w:ind w:firstLine="600" w:firstLineChars="250"/>
        <w:jc w:val="both"/>
        <w:rPr>
          <w:rFonts w:ascii="Times New Roman" w:hAnsi="Times New Roman"/>
          <w:sz w:val="24"/>
          <w:szCs w:val="24"/>
        </w:rPr>
      </w:pPr>
      <w:r>
        <w:rPr>
          <w:rFonts w:hint="default"/>
          <w:sz w:val="24"/>
          <w:szCs w:val="24"/>
          <w:lang w:val="pt-BR"/>
        </w:rPr>
        <w:t xml:space="preserve">10.5 </w:t>
      </w:r>
      <w:r>
        <w:rPr>
          <w:rFonts w:ascii="Times New Roman" w:hAnsi="Times New Roman"/>
          <w:sz w:val="24"/>
          <w:szCs w:val="24"/>
        </w:rPr>
        <w:t>Acompanhar e fiscalizar a execu</w:t>
      </w:r>
      <w:r>
        <w:rPr>
          <w:rFonts w:hint="default" w:ascii="Times New Roman" w:hAnsi="Times New Roman"/>
          <w:sz w:val="24"/>
          <w:szCs w:val="24"/>
          <w:lang w:val="pt-BR"/>
        </w:rPr>
        <w:t>çã</w:t>
      </w:r>
      <w:r>
        <w:rPr>
          <w:rFonts w:ascii="Times New Roman" w:hAnsi="Times New Roman"/>
          <w:sz w:val="24"/>
          <w:szCs w:val="24"/>
        </w:rPr>
        <w:t>o do contrato, bem como atestar as faturas</w:t>
      </w:r>
    </w:p>
    <w:p>
      <w:pPr>
        <w:autoSpaceDE w:val="0"/>
        <w:autoSpaceDN w:val="0"/>
        <w:adjustRightInd w:val="0"/>
        <w:spacing w:after="0" w:line="240" w:lineRule="auto"/>
        <w:ind w:firstLine="720" w:firstLineChars="300"/>
        <w:jc w:val="both"/>
        <w:rPr>
          <w:rFonts w:ascii="Times New Roman" w:hAnsi="Times New Roman"/>
          <w:sz w:val="24"/>
          <w:szCs w:val="24"/>
        </w:rPr>
      </w:pPr>
      <w:r>
        <w:rPr>
          <w:rFonts w:ascii="Times New Roman" w:hAnsi="Times New Roman"/>
          <w:sz w:val="24"/>
          <w:szCs w:val="24"/>
        </w:rPr>
        <w:t>correspondentes, por intermédio do respons</w:t>
      </w:r>
      <w:r>
        <w:rPr>
          <w:rFonts w:hint="default" w:ascii="Times New Roman" w:hAnsi="Times New Roman"/>
          <w:sz w:val="24"/>
          <w:szCs w:val="24"/>
          <w:lang w:val="pt-BR"/>
        </w:rPr>
        <w:t>á</w:t>
      </w:r>
      <w:r>
        <w:rPr>
          <w:rFonts w:ascii="Times New Roman" w:hAnsi="Times New Roman"/>
          <w:sz w:val="24"/>
          <w:szCs w:val="24"/>
        </w:rPr>
        <w:t>vel pelo Contrato;</w:t>
      </w:r>
    </w:p>
    <w:p>
      <w:pPr>
        <w:autoSpaceDE w:val="0"/>
        <w:autoSpaceDN w:val="0"/>
        <w:adjustRightInd w:val="0"/>
        <w:spacing w:after="0" w:line="240" w:lineRule="auto"/>
        <w:jc w:val="both"/>
        <w:rPr>
          <w:rFonts w:ascii="Times New Roman" w:hAnsi="Times New Roman"/>
          <w:sz w:val="24"/>
          <w:szCs w:val="24"/>
        </w:rPr>
      </w:pPr>
    </w:p>
    <w:p>
      <w:pPr>
        <w:numPr>
          <w:numId w:val="0"/>
        </w:numPr>
        <w:autoSpaceDE w:val="0"/>
        <w:autoSpaceDN w:val="0"/>
        <w:adjustRightInd w:val="0"/>
        <w:spacing w:after="0" w:line="240" w:lineRule="auto"/>
        <w:ind w:left="567" w:leftChars="0"/>
        <w:jc w:val="both"/>
        <w:rPr>
          <w:rFonts w:ascii="Times New Roman" w:hAnsi="Times New Roman"/>
          <w:sz w:val="24"/>
          <w:szCs w:val="24"/>
        </w:rPr>
      </w:pPr>
      <w:r>
        <w:rPr>
          <w:rFonts w:hint="default"/>
          <w:sz w:val="24"/>
          <w:szCs w:val="24"/>
          <w:lang w:val="pt-BR"/>
        </w:rPr>
        <w:t xml:space="preserve">10.6 </w:t>
      </w:r>
      <w:r>
        <w:rPr>
          <w:rFonts w:ascii="Times New Roman" w:hAnsi="Times New Roman"/>
          <w:sz w:val="24"/>
          <w:szCs w:val="24"/>
        </w:rPr>
        <w:t>Efetuar os devidos pagamentos a CONTRATADA, quando comprovado o cumprimento das etapas, conforme as Caracter</w:t>
      </w:r>
      <w:r>
        <w:rPr>
          <w:rFonts w:hint="default" w:ascii="Times New Roman" w:hAnsi="Times New Roman"/>
          <w:sz w:val="24"/>
          <w:szCs w:val="24"/>
          <w:lang w:val="pt-BR"/>
        </w:rPr>
        <w:t>í</w:t>
      </w:r>
      <w:r>
        <w:rPr>
          <w:rFonts w:ascii="Times New Roman" w:hAnsi="Times New Roman"/>
          <w:sz w:val="24"/>
          <w:szCs w:val="24"/>
        </w:rPr>
        <w:t>sticas solicitadas na Iicita</w:t>
      </w:r>
      <w:r>
        <w:rPr>
          <w:rFonts w:hint="default" w:ascii="Times New Roman" w:hAnsi="Times New Roman"/>
          <w:sz w:val="24"/>
          <w:szCs w:val="24"/>
          <w:lang w:val="pt-BR"/>
        </w:rPr>
        <w:t>çã</w:t>
      </w:r>
      <w:r>
        <w:rPr>
          <w:rFonts w:ascii="Times New Roman" w:hAnsi="Times New Roman"/>
          <w:sz w:val="24"/>
          <w:szCs w:val="24"/>
        </w:rPr>
        <w:t>o e conforme a proposta de pre</w:t>
      </w:r>
      <w:r>
        <w:rPr>
          <w:rFonts w:hint="default" w:ascii="Times New Roman" w:hAnsi="Times New Roman"/>
          <w:sz w:val="24"/>
          <w:szCs w:val="24"/>
          <w:lang w:val="pt-BR"/>
        </w:rPr>
        <w:t>ç</w:t>
      </w:r>
      <w:r>
        <w:rPr>
          <w:rFonts w:ascii="Times New Roman" w:hAnsi="Times New Roman"/>
          <w:sz w:val="24"/>
          <w:szCs w:val="24"/>
        </w:rPr>
        <w:t>os da CONTRATADA;</w:t>
      </w:r>
    </w:p>
    <w:p>
      <w:pPr>
        <w:numPr>
          <w:numId w:val="0"/>
        </w:numPr>
        <w:autoSpaceDE w:val="0"/>
        <w:autoSpaceDN w:val="0"/>
        <w:adjustRightInd w:val="0"/>
        <w:spacing w:after="0" w:line="240" w:lineRule="auto"/>
        <w:jc w:val="both"/>
        <w:rPr>
          <w:rFonts w:ascii="Times New Roman" w:hAnsi="Times New Roman"/>
          <w:sz w:val="24"/>
          <w:szCs w:val="24"/>
        </w:rPr>
      </w:pPr>
    </w:p>
    <w:p>
      <w:pPr>
        <w:autoSpaceDE w:val="0"/>
        <w:autoSpaceDN w:val="0"/>
        <w:adjustRightInd w:val="0"/>
        <w:spacing w:after="0" w:line="240" w:lineRule="auto"/>
        <w:ind w:left="720" w:leftChars="300" w:hanging="120" w:hangingChars="50"/>
        <w:jc w:val="both"/>
        <w:rPr>
          <w:rFonts w:ascii="Times New Roman" w:hAnsi="Times New Roman"/>
          <w:sz w:val="24"/>
          <w:szCs w:val="24"/>
        </w:rPr>
      </w:pPr>
      <w:r>
        <w:rPr>
          <w:rFonts w:hint="default"/>
          <w:sz w:val="24"/>
          <w:szCs w:val="24"/>
          <w:lang w:val="pt-BR"/>
        </w:rPr>
        <w:t xml:space="preserve">10.7 </w:t>
      </w:r>
      <w:r>
        <w:rPr>
          <w:rFonts w:ascii="Times New Roman" w:hAnsi="Times New Roman"/>
          <w:sz w:val="24"/>
          <w:szCs w:val="24"/>
        </w:rPr>
        <w:t>Aplicar a CONTRATADA as penalidades previstas neste contrato e na legisla</w:t>
      </w:r>
      <w:r>
        <w:rPr>
          <w:rFonts w:hint="default" w:ascii="Times New Roman" w:hAnsi="Times New Roman"/>
          <w:sz w:val="24"/>
          <w:szCs w:val="24"/>
          <w:lang w:val="pt-BR"/>
        </w:rPr>
        <w:t>çã</w:t>
      </w:r>
      <w:r>
        <w:rPr>
          <w:rFonts w:ascii="Times New Roman" w:hAnsi="Times New Roman"/>
          <w:sz w:val="24"/>
          <w:szCs w:val="24"/>
        </w:rPr>
        <w:t>o pertinente;</w:t>
      </w:r>
    </w:p>
    <w:p>
      <w:pPr>
        <w:autoSpaceDE w:val="0"/>
        <w:autoSpaceDN w:val="0"/>
        <w:adjustRightInd w:val="0"/>
        <w:spacing w:after="0" w:line="240" w:lineRule="auto"/>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10.8 </w:t>
      </w:r>
      <w:r>
        <w:rPr>
          <w:rFonts w:ascii="Times New Roman" w:hAnsi="Times New Roman"/>
          <w:sz w:val="24"/>
          <w:szCs w:val="24"/>
        </w:rPr>
        <w:t>Prestar as inform</w:t>
      </w:r>
      <w:r>
        <w:rPr>
          <w:rFonts w:hint="default" w:ascii="Times New Roman" w:hAnsi="Times New Roman"/>
          <w:sz w:val="24"/>
          <w:szCs w:val="24"/>
          <w:lang w:val="pt-BR"/>
        </w:rPr>
        <w:t>ções</w:t>
      </w:r>
      <w:r>
        <w:rPr>
          <w:rFonts w:ascii="Times New Roman" w:hAnsi="Times New Roman"/>
          <w:sz w:val="24"/>
          <w:szCs w:val="24"/>
        </w:rPr>
        <w:t xml:space="preserve"> e os esclarecimentos </w:t>
      </w:r>
      <w:r>
        <w:rPr>
          <w:rFonts w:hint="default" w:ascii="Times New Roman" w:hAnsi="Times New Roman"/>
          <w:sz w:val="24"/>
          <w:szCs w:val="24"/>
          <w:lang w:val="pt-BR"/>
        </w:rPr>
        <w:t>per</w:t>
      </w:r>
      <w:r>
        <w:rPr>
          <w:rFonts w:ascii="Times New Roman" w:hAnsi="Times New Roman"/>
          <w:sz w:val="24"/>
          <w:szCs w:val="24"/>
        </w:rPr>
        <w:t>tinentes ao objeto, que venham a ser</w:t>
      </w:r>
      <w:r>
        <w:rPr>
          <w:rFonts w:hint="default"/>
          <w:sz w:val="24"/>
          <w:szCs w:val="24"/>
          <w:lang w:val="pt-BR"/>
        </w:rPr>
        <w:t xml:space="preserve"> </w:t>
      </w:r>
      <w:r>
        <w:rPr>
          <w:rFonts w:ascii="Times New Roman" w:hAnsi="Times New Roman"/>
          <w:sz w:val="24"/>
          <w:szCs w:val="24"/>
        </w:rPr>
        <w:t>so</w:t>
      </w:r>
      <w:r>
        <w:rPr>
          <w:rFonts w:hint="default"/>
          <w:sz w:val="24"/>
          <w:szCs w:val="24"/>
          <w:lang w:val="pt-BR"/>
        </w:rPr>
        <w:t>l</w:t>
      </w:r>
      <w:r>
        <w:rPr>
          <w:rFonts w:ascii="Times New Roman" w:hAnsi="Times New Roman"/>
          <w:sz w:val="24"/>
          <w:szCs w:val="24"/>
        </w:rPr>
        <w:t>icitado pela CONTRATADA;</w:t>
      </w:r>
    </w:p>
    <w:p>
      <w:pPr>
        <w:autoSpaceDE w:val="0"/>
        <w:autoSpaceDN w:val="0"/>
        <w:adjustRightInd w:val="0"/>
        <w:spacing w:after="0" w:line="240" w:lineRule="auto"/>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10.9 </w:t>
      </w:r>
      <w:r>
        <w:rPr>
          <w:rFonts w:ascii="Times New Roman" w:hAnsi="Times New Roman"/>
          <w:sz w:val="24"/>
          <w:szCs w:val="24"/>
        </w:rPr>
        <w:t>Solicitar a substitui</w:t>
      </w:r>
      <w:r>
        <w:rPr>
          <w:rFonts w:hint="default" w:ascii="Times New Roman" w:hAnsi="Times New Roman"/>
          <w:sz w:val="24"/>
          <w:szCs w:val="24"/>
          <w:lang w:val="pt-BR"/>
        </w:rPr>
        <w:t>çã</w:t>
      </w:r>
      <w:r>
        <w:rPr>
          <w:rFonts w:ascii="Times New Roman" w:hAnsi="Times New Roman"/>
          <w:sz w:val="24"/>
          <w:szCs w:val="24"/>
        </w:rPr>
        <w:t>o ou corre</w:t>
      </w:r>
      <w:r>
        <w:rPr>
          <w:rFonts w:hint="default" w:ascii="Times New Roman" w:hAnsi="Times New Roman"/>
          <w:sz w:val="24"/>
          <w:szCs w:val="24"/>
          <w:lang w:val="pt-BR"/>
        </w:rPr>
        <w:t>çã</w:t>
      </w:r>
      <w:r>
        <w:rPr>
          <w:rFonts w:ascii="Times New Roman" w:hAnsi="Times New Roman"/>
          <w:sz w:val="24"/>
          <w:szCs w:val="24"/>
        </w:rPr>
        <w:t>o do objeto entregue ou servi</w:t>
      </w:r>
      <w:r>
        <w:rPr>
          <w:rFonts w:hint="default" w:ascii="Times New Roman" w:hAnsi="Times New Roman"/>
          <w:sz w:val="24"/>
          <w:szCs w:val="24"/>
          <w:lang w:val="pt-BR"/>
        </w:rPr>
        <w:t>ç</w:t>
      </w:r>
      <w:r>
        <w:rPr>
          <w:rFonts w:ascii="Times New Roman" w:hAnsi="Times New Roman"/>
          <w:sz w:val="24"/>
          <w:szCs w:val="24"/>
        </w:rPr>
        <w:t>os executados com defeitos, vicios, incorr</w:t>
      </w:r>
      <w:r>
        <w:rPr>
          <w:rFonts w:hint="default" w:ascii="Times New Roman" w:hAnsi="Times New Roman"/>
          <w:sz w:val="24"/>
          <w:szCs w:val="24"/>
          <w:lang w:val="pt-BR"/>
        </w:rPr>
        <w:t>çõ</w:t>
      </w:r>
      <w:r>
        <w:rPr>
          <w:rFonts w:ascii="Times New Roman" w:hAnsi="Times New Roman"/>
          <w:sz w:val="24"/>
          <w:szCs w:val="24"/>
        </w:rPr>
        <w:t>es ou fora das condi</w:t>
      </w:r>
      <w:r>
        <w:rPr>
          <w:rFonts w:hint="default" w:ascii="Times New Roman" w:hAnsi="Times New Roman"/>
          <w:sz w:val="24"/>
          <w:szCs w:val="24"/>
          <w:lang w:val="pt-BR"/>
        </w:rPr>
        <w:t>çõ</w:t>
      </w:r>
      <w:r>
        <w:rPr>
          <w:rFonts w:ascii="Times New Roman" w:hAnsi="Times New Roman"/>
          <w:sz w:val="24"/>
          <w:szCs w:val="24"/>
        </w:rPr>
        <w:t>es exigidas;</w:t>
      </w:r>
    </w:p>
    <w:p>
      <w:pPr>
        <w:autoSpaceDE w:val="0"/>
        <w:autoSpaceDN w:val="0"/>
        <w:adjustRightInd w:val="0"/>
        <w:spacing w:after="0" w:line="240" w:lineRule="auto"/>
        <w:jc w:val="both"/>
        <w:rPr>
          <w:rFonts w:ascii="Times New Roman" w:hAnsi="Times New Roman"/>
          <w:sz w:val="24"/>
          <w:szCs w:val="24"/>
        </w:rPr>
      </w:pPr>
    </w:p>
    <w:p>
      <w:pPr>
        <w:autoSpaceDE w:val="0"/>
        <w:autoSpaceDN w:val="0"/>
        <w:adjustRightInd w:val="0"/>
        <w:spacing w:after="0" w:line="240" w:lineRule="auto"/>
        <w:ind w:left="0" w:leftChars="0" w:firstLine="600" w:firstLineChars="250"/>
        <w:jc w:val="both"/>
        <w:rPr>
          <w:rFonts w:ascii="Times New Roman" w:hAnsi="Times New Roman"/>
          <w:sz w:val="24"/>
          <w:szCs w:val="24"/>
        </w:rPr>
      </w:pPr>
      <w:r>
        <w:rPr>
          <w:rFonts w:hint="default"/>
          <w:sz w:val="24"/>
          <w:szCs w:val="24"/>
          <w:lang w:val="pt-BR"/>
        </w:rPr>
        <w:t xml:space="preserve">10.10 </w:t>
      </w:r>
      <w:r>
        <w:rPr>
          <w:rFonts w:ascii="Times New Roman" w:hAnsi="Times New Roman"/>
          <w:sz w:val="24"/>
          <w:szCs w:val="24"/>
        </w:rPr>
        <w:t>Documentar as ocorr</w:t>
      </w:r>
      <w:r>
        <w:rPr>
          <w:rFonts w:hint="default" w:ascii="Times New Roman" w:hAnsi="Times New Roman"/>
          <w:sz w:val="24"/>
          <w:szCs w:val="24"/>
          <w:lang w:val="pt-BR"/>
        </w:rPr>
        <w:t>ê</w:t>
      </w:r>
      <w:r>
        <w:rPr>
          <w:rFonts w:ascii="Times New Roman" w:hAnsi="Times New Roman"/>
          <w:sz w:val="24"/>
          <w:szCs w:val="24"/>
        </w:rPr>
        <w:t>ncias havidas;</w:t>
      </w:r>
    </w:p>
    <w:p>
      <w:pPr>
        <w:autoSpaceDE w:val="0"/>
        <w:autoSpaceDN w:val="0"/>
        <w:adjustRightInd w:val="0"/>
        <w:spacing w:after="0" w:line="240" w:lineRule="auto"/>
        <w:ind w:left="0" w:leftChars="0" w:firstLine="600" w:firstLineChars="250"/>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10.11 </w:t>
      </w:r>
      <w:r>
        <w:rPr>
          <w:rFonts w:ascii="Times New Roman" w:hAnsi="Times New Roman"/>
          <w:sz w:val="24"/>
          <w:szCs w:val="24"/>
        </w:rPr>
        <w:t>Determinar a regulariza</w:t>
      </w:r>
      <w:r>
        <w:rPr>
          <w:rFonts w:hint="default" w:ascii="Times New Roman" w:hAnsi="Times New Roman"/>
          <w:sz w:val="24"/>
          <w:szCs w:val="24"/>
          <w:lang w:val="pt-BR"/>
        </w:rPr>
        <w:t>çã</w:t>
      </w:r>
      <w:r>
        <w:rPr>
          <w:rFonts w:ascii="Times New Roman" w:hAnsi="Times New Roman"/>
          <w:sz w:val="24"/>
          <w:szCs w:val="24"/>
        </w:rPr>
        <w:t>o das faltas e defeitos observados na execu</w:t>
      </w:r>
      <w:r>
        <w:rPr>
          <w:rFonts w:hint="default" w:ascii="Times New Roman" w:hAnsi="Times New Roman"/>
          <w:sz w:val="24"/>
          <w:szCs w:val="24"/>
          <w:lang w:val="pt-BR"/>
        </w:rPr>
        <w:t>çã</w:t>
      </w:r>
      <w:r>
        <w:rPr>
          <w:rFonts w:ascii="Times New Roman" w:hAnsi="Times New Roman"/>
          <w:sz w:val="24"/>
          <w:szCs w:val="24"/>
        </w:rPr>
        <w:t>o do objeto;</w:t>
      </w:r>
    </w:p>
    <w:p>
      <w:pPr>
        <w:autoSpaceDE w:val="0"/>
        <w:autoSpaceDN w:val="0"/>
        <w:adjustRightInd w:val="0"/>
        <w:spacing w:after="0" w:line="240" w:lineRule="auto"/>
        <w:ind w:left="600" w:leftChars="300" w:firstLine="0" w:firstLineChars="0"/>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10.12 </w:t>
      </w:r>
      <w:r>
        <w:rPr>
          <w:rFonts w:ascii="Times New Roman" w:hAnsi="Times New Roman"/>
          <w:sz w:val="24"/>
          <w:szCs w:val="24"/>
        </w:rPr>
        <w:t>Permitir livre acesso dos funcion</w:t>
      </w:r>
      <w:r>
        <w:rPr>
          <w:rFonts w:hint="default" w:ascii="Times New Roman" w:hAnsi="Times New Roman"/>
          <w:sz w:val="24"/>
          <w:szCs w:val="24"/>
          <w:lang w:val="pt-BR"/>
        </w:rPr>
        <w:t>á</w:t>
      </w:r>
      <w:r>
        <w:rPr>
          <w:rFonts w:ascii="Times New Roman" w:hAnsi="Times New Roman"/>
          <w:sz w:val="24"/>
          <w:szCs w:val="24"/>
        </w:rPr>
        <w:t>rios da CONTRATADA as depend</w:t>
      </w:r>
      <w:r>
        <w:rPr>
          <w:rFonts w:hint="default" w:ascii="Times New Roman" w:hAnsi="Times New Roman"/>
          <w:sz w:val="24"/>
          <w:szCs w:val="24"/>
          <w:lang w:val="pt-BR"/>
        </w:rPr>
        <w:t>ê</w:t>
      </w:r>
      <w:r>
        <w:rPr>
          <w:rFonts w:ascii="Times New Roman" w:hAnsi="Times New Roman"/>
          <w:sz w:val="24"/>
          <w:szCs w:val="24"/>
        </w:rPr>
        <w:t>ncias da Prefeitura Municipal, observadas as normas de seguran</w:t>
      </w:r>
      <w:r>
        <w:rPr>
          <w:rFonts w:hint="default" w:ascii="Times New Roman" w:hAnsi="Times New Roman"/>
          <w:sz w:val="24"/>
          <w:szCs w:val="24"/>
          <w:lang w:val="pt-BR"/>
        </w:rPr>
        <w:t>ç</w:t>
      </w:r>
      <w:r>
        <w:rPr>
          <w:rFonts w:ascii="Times New Roman" w:hAnsi="Times New Roman"/>
          <w:sz w:val="24"/>
          <w:szCs w:val="24"/>
        </w:rPr>
        <w:t>a pertinentes;</w:t>
      </w:r>
    </w:p>
    <w:p>
      <w:pPr>
        <w:autoSpaceDE w:val="0"/>
        <w:autoSpaceDN w:val="0"/>
        <w:adjustRightInd w:val="0"/>
        <w:spacing w:after="0" w:line="240" w:lineRule="auto"/>
        <w:ind w:left="600" w:leftChars="300" w:firstLine="0" w:firstLineChars="0"/>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10-13 </w:t>
      </w:r>
      <w:r>
        <w:rPr>
          <w:rFonts w:ascii="Times New Roman" w:hAnsi="Times New Roman"/>
          <w:sz w:val="24"/>
          <w:szCs w:val="24"/>
        </w:rPr>
        <w:t>Realizar rigorosa confer</w:t>
      </w:r>
      <w:r>
        <w:rPr>
          <w:rFonts w:hint="default" w:ascii="Times New Roman" w:hAnsi="Times New Roman"/>
          <w:sz w:val="24"/>
          <w:szCs w:val="24"/>
          <w:lang w:val="pt-BR"/>
        </w:rPr>
        <w:t>ê</w:t>
      </w:r>
      <w:r>
        <w:rPr>
          <w:rFonts w:ascii="Times New Roman" w:hAnsi="Times New Roman"/>
          <w:sz w:val="24"/>
          <w:szCs w:val="24"/>
        </w:rPr>
        <w:t>ncia das caracteristicas dos servi</w:t>
      </w:r>
      <w:r>
        <w:rPr>
          <w:rFonts w:hint="default" w:ascii="Times New Roman" w:hAnsi="Times New Roman"/>
          <w:sz w:val="24"/>
          <w:szCs w:val="24"/>
          <w:lang w:val="pt-BR"/>
        </w:rPr>
        <w:t>ç</w:t>
      </w:r>
      <w:r>
        <w:rPr>
          <w:rFonts w:ascii="Times New Roman" w:hAnsi="Times New Roman"/>
          <w:sz w:val="24"/>
          <w:szCs w:val="24"/>
        </w:rPr>
        <w:t>os a serem prestados, somente atestando os documentos da despesa quando comprovada a presta</w:t>
      </w:r>
      <w:r>
        <w:rPr>
          <w:rFonts w:hint="default" w:ascii="Times New Roman" w:hAnsi="Times New Roman"/>
          <w:sz w:val="24"/>
          <w:szCs w:val="24"/>
          <w:lang w:val="pt-BR"/>
        </w:rPr>
        <w:t>çã</w:t>
      </w:r>
      <w:r>
        <w:rPr>
          <w:rFonts w:ascii="Times New Roman" w:hAnsi="Times New Roman"/>
          <w:sz w:val="24"/>
          <w:szCs w:val="24"/>
        </w:rPr>
        <w:t>o total, fiel e correta dos se</w:t>
      </w:r>
      <w:r>
        <w:rPr>
          <w:rFonts w:hint="default" w:ascii="Times New Roman" w:hAnsi="Times New Roman"/>
          <w:sz w:val="24"/>
          <w:szCs w:val="24"/>
          <w:lang w:val="pt-BR"/>
        </w:rPr>
        <w:t>rviç</w:t>
      </w:r>
      <w:r>
        <w:rPr>
          <w:rFonts w:ascii="Times New Roman" w:hAnsi="Times New Roman"/>
          <w:sz w:val="24"/>
          <w:szCs w:val="24"/>
        </w:rPr>
        <w:t>os;</w:t>
      </w:r>
    </w:p>
    <w:p>
      <w:pPr>
        <w:autoSpaceDE w:val="0"/>
        <w:autoSpaceDN w:val="0"/>
        <w:adjustRightInd w:val="0"/>
        <w:spacing w:after="0" w:line="240" w:lineRule="auto"/>
        <w:ind w:left="600" w:leftChars="300" w:firstLine="0" w:firstLineChars="0"/>
        <w:jc w:val="both"/>
        <w:rPr>
          <w:rFonts w:ascii="Times New Roman" w:hAnsi="Times New Roman"/>
          <w:sz w:val="24"/>
          <w:szCs w:val="24"/>
        </w:rPr>
      </w:pPr>
    </w:p>
    <w:p>
      <w:pPr>
        <w:autoSpaceDE w:val="0"/>
        <w:autoSpaceDN w:val="0"/>
        <w:adjustRightInd w:val="0"/>
        <w:spacing w:after="0" w:line="240" w:lineRule="auto"/>
        <w:ind w:left="600" w:leftChars="300" w:firstLine="0" w:firstLineChars="0"/>
        <w:jc w:val="both"/>
        <w:rPr>
          <w:rFonts w:ascii="Times New Roman" w:hAnsi="Times New Roman"/>
          <w:sz w:val="24"/>
          <w:szCs w:val="24"/>
        </w:rPr>
      </w:pPr>
      <w:r>
        <w:rPr>
          <w:rFonts w:hint="default"/>
          <w:sz w:val="24"/>
          <w:szCs w:val="24"/>
          <w:lang w:val="pt-BR"/>
        </w:rPr>
        <w:t xml:space="preserve">10.14 </w:t>
      </w:r>
      <w:r>
        <w:rPr>
          <w:rFonts w:ascii="Times New Roman" w:hAnsi="Times New Roman"/>
          <w:sz w:val="24"/>
          <w:szCs w:val="24"/>
        </w:rPr>
        <w:t>Ser</w:t>
      </w:r>
      <w:r>
        <w:rPr>
          <w:rFonts w:hint="default" w:ascii="Times New Roman" w:hAnsi="Times New Roman"/>
          <w:sz w:val="24"/>
          <w:szCs w:val="24"/>
          <w:lang w:val="pt-BR"/>
        </w:rPr>
        <w:t>ã</w:t>
      </w:r>
      <w:r>
        <w:rPr>
          <w:rFonts w:ascii="Times New Roman" w:hAnsi="Times New Roman"/>
          <w:sz w:val="24"/>
          <w:szCs w:val="24"/>
        </w:rPr>
        <w:t>o fornecidas a Contratada as diretrizes do projeto, podendo a Contratada readequa-lo, apresentando solu</w:t>
      </w:r>
      <w:r>
        <w:rPr>
          <w:rFonts w:hint="default" w:ascii="Times New Roman" w:hAnsi="Times New Roman"/>
          <w:sz w:val="24"/>
          <w:szCs w:val="24"/>
          <w:lang w:val="pt-BR"/>
        </w:rPr>
        <w:t>çõ</w:t>
      </w:r>
      <w:r>
        <w:rPr>
          <w:rFonts w:ascii="Times New Roman" w:hAnsi="Times New Roman"/>
          <w:sz w:val="24"/>
          <w:szCs w:val="24"/>
        </w:rPr>
        <w:t>es alternativas, caso necess</w:t>
      </w:r>
      <w:r>
        <w:rPr>
          <w:rFonts w:hint="default" w:ascii="Times New Roman" w:hAnsi="Times New Roman"/>
          <w:sz w:val="24"/>
          <w:szCs w:val="24"/>
          <w:lang w:val="pt-BR"/>
        </w:rPr>
        <w:t>á</w:t>
      </w:r>
      <w:r>
        <w:rPr>
          <w:rFonts w:ascii="Times New Roman" w:hAnsi="Times New Roman"/>
          <w:sz w:val="24"/>
          <w:szCs w:val="24"/>
        </w:rPr>
        <w:t>rio. Assim, a partir da an</w:t>
      </w:r>
      <w:r>
        <w:rPr>
          <w:rFonts w:hint="default" w:ascii="Times New Roman" w:hAnsi="Times New Roman"/>
          <w:sz w:val="24"/>
          <w:szCs w:val="24"/>
          <w:lang w:val="pt-BR"/>
        </w:rPr>
        <w:t>á</w:t>
      </w:r>
      <w:r>
        <w:rPr>
          <w:rFonts w:ascii="Times New Roman" w:hAnsi="Times New Roman"/>
          <w:sz w:val="24"/>
          <w:szCs w:val="24"/>
        </w:rPr>
        <w:t>lise e avalia</w:t>
      </w:r>
      <w:r>
        <w:rPr>
          <w:rFonts w:hint="default" w:ascii="Times New Roman" w:hAnsi="Times New Roman"/>
          <w:sz w:val="24"/>
          <w:szCs w:val="24"/>
          <w:lang w:val="pt-BR"/>
        </w:rPr>
        <w:t>çã</w:t>
      </w:r>
      <w:r>
        <w:rPr>
          <w:rFonts w:ascii="Times New Roman" w:hAnsi="Times New Roman"/>
          <w:sz w:val="24"/>
          <w:szCs w:val="24"/>
        </w:rPr>
        <w:t>o de todas as informa</w:t>
      </w:r>
      <w:r>
        <w:rPr>
          <w:rFonts w:hint="default" w:ascii="Times New Roman" w:hAnsi="Times New Roman"/>
          <w:sz w:val="24"/>
          <w:szCs w:val="24"/>
          <w:lang w:val="pt-BR"/>
        </w:rPr>
        <w:t>çõ</w:t>
      </w:r>
      <w:r>
        <w:rPr>
          <w:rFonts w:ascii="Times New Roman" w:hAnsi="Times New Roman"/>
          <w:sz w:val="24"/>
          <w:szCs w:val="24"/>
        </w:rPr>
        <w:t>es fornecidas pelo Contratante e das pesquisas relacionadas as posturas urbanas locais, distritais e federais, e da elabora</w:t>
      </w:r>
      <w:r>
        <w:rPr>
          <w:rFonts w:hint="default" w:ascii="Times New Roman" w:hAnsi="Times New Roman"/>
          <w:sz w:val="24"/>
          <w:szCs w:val="24"/>
          <w:lang w:val="pt-BR"/>
        </w:rPr>
        <w:t>çã</w:t>
      </w:r>
      <w:r>
        <w:rPr>
          <w:rFonts w:ascii="Times New Roman" w:hAnsi="Times New Roman"/>
          <w:sz w:val="24"/>
          <w:szCs w:val="24"/>
        </w:rPr>
        <w:t>o dos Ievantamentos topogr</w:t>
      </w:r>
      <w:r>
        <w:rPr>
          <w:rFonts w:hint="default" w:ascii="Times New Roman" w:hAnsi="Times New Roman"/>
          <w:sz w:val="24"/>
          <w:szCs w:val="24"/>
          <w:lang w:val="pt-BR"/>
        </w:rPr>
        <w:t>á</w:t>
      </w:r>
      <w:r>
        <w:rPr>
          <w:rFonts w:ascii="Times New Roman" w:hAnsi="Times New Roman"/>
          <w:sz w:val="24"/>
          <w:szCs w:val="24"/>
        </w:rPr>
        <w:t>ficos do terreno e sondagens, a Contratada iniciara a elabora</w:t>
      </w:r>
      <w:r>
        <w:rPr>
          <w:rFonts w:hint="default" w:ascii="Times New Roman" w:hAnsi="Times New Roman"/>
          <w:sz w:val="24"/>
          <w:szCs w:val="24"/>
          <w:lang w:val="pt-BR"/>
        </w:rPr>
        <w:t>çã</w:t>
      </w:r>
      <w:r>
        <w:rPr>
          <w:rFonts w:ascii="Times New Roman" w:hAnsi="Times New Roman"/>
          <w:sz w:val="24"/>
          <w:szCs w:val="24"/>
        </w:rPr>
        <w:t>o dos anteprojetos.</w:t>
      </w:r>
    </w:p>
    <w:p>
      <w:pPr>
        <w:autoSpaceDE w:val="0"/>
        <w:autoSpaceDN w:val="0"/>
        <w:adjustRightInd w:val="0"/>
        <w:spacing w:after="0" w:line="240" w:lineRule="auto"/>
        <w:ind w:left="600" w:leftChars="300" w:firstLine="0" w:firstLineChars="0"/>
        <w:jc w:val="both"/>
        <w:rPr>
          <w:rFonts w:hint="default"/>
          <w:sz w:val="24"/>
          <w:szCs w:val="24"/>
          <w:lang w:val="pt-BR"/>
        </w:rPr>
      </w:pPr>
      <w:r>
        <w:rPr>
          <w:rFonts w:hint="default"/>
          <w:sz w:val="24"/>
          <w:szCs w:val="24"/>
          <w:lang w:val="pt-BR"/>
        </w:rPr>
        <w:t xml:space="preserve">10.15 </w:t>
      </w:r>
      <w:r>
        <w:rPr>
          <w:rFonts w:ascii="Times New Roman" w:hAnsi="Times New Roman"/>
          <w:sz w:val="24"/>
          <w:szCs w:val="24"/>
        </w:rPr>
        <w:t>O Projeto Executivo demais complementares deve ser entregue em meio digital (CD, DVD,  e—mail, pendrive), com informa</w:t>
      </w:r>
      <w:r>
        <w:rPr>
          <w:rFonts w:hint="default" w:ascii="Times New Roman" w:hAnsi="Times New Roman"/>
          <w:sz w:val="24"/>
          <w:szCs w:val="24"/>
          <w:lang w:val="pt-BR"/>
        </w:rPr>
        <w:t>çõ</w:t>
      </w:r>
      <w:r>
        <w:rPr>
          <w:rFonts w:ascii="Times New Roman" w:hAnsi="Times New Roman"/>
          <w:sz w:val="24"/>
          <w:szCs w:val="24"/>
        </w:rPr>
        <w:t>es adequadas ficando a cargo da Contratante as despesas com a impress</w:t>
      </w:r>
      <w:r>
        <w:rPr>
          <w:rFonts w:hint="default" w:ascii="Times New Roman" w:hAnsi="Times New Roman"/>
          <w:sz w:val="24"/>
          <w:szCs w:val="24"/>
          <w:lang w:val="pt-BR"/>
        </w:rPr>
        <w:t>ã</w:t>
      </w:r>
      <w:r>
        <w:rPr>
          <w:rFonts w:ascii="Times New Roman" w:hAnsi="Times New Roman"/>
          <w:sz w:val="24"/>
          <w:szCs w:val="24"/>
        </w:rPr>
        <w:t>o em grandes formatos (“plotagem”)</w:t>
      </w:r>
      <w:r>
        <w:rPr>
          <w:rFonts w:hint="default"/>
          <w:sz w:val="24"/>
          <w:szCs w:val="24"/>
          <w:lang w:val="pt-BR"/>
        </w:rPr>
        <w:t>.</w:t>
      </w:r>
    </w:p>
    <w:p>
      <w:pPr>
        <w:autoSpaceDE w:val="0"/>
        <w:autoSpaceDN w:val="0"/>
        <w:adjustRightInd w:val="0"/>
        <w:spacing w:after="0" w:line="240" w:lineRule="auto"/>
        <w:ind w:left="600" w:leftChars="300" w:firstLine="0" w:firstLineChars="0"/>
        <w:jc w:val="both"/>
        <w:rPr>
          <w:rFonts w:hint="default"/>
          <w:sz w:val="24"/>
          <w:szCs w:val="24"/>
          <w:lang w:val="pt-BR"/>
        </w:rPr>
      </w:pPr>
    </w:p>
    <w:p>
      <w:pPr>
        <w:autoSpaceDE w:val="0"/>
        <w:autoSpaceDN w:val="0"/>
        <w:adjustRightInd w:val="0"/>
        <w:spacing w:after="0" w:line="240" w:lineRule="auto"/>
        <w:ind w:left="0" w:leftChars="0" w:firstLine="600" w:firstLineChars="250"/>
        <w:jc w:val="both"/>
        <w:rPr>
          <w:rFonts w:ascii="Times New Roman" w:hAnsi="Times New Roman"/>
          <w:sz w:val="24"/>
          <w:szCs w:val="24"/>
        </w:rPr>
      </w:pPr>
      <w:r>
        <w:rPr>
          <w:rFonts w:hint="default"/>
          <w:sz w:val="24"/>
          <w:szCs w:val="24"/>
          <w:lang w:val="pt-BR"/>
        </w:rPr>
        <w:t xml:space="preserve">10.16 </w:t>
      </w:r>
      <w:r>
        <w:rPr>
          <w:rFonts w:ascii="Times New Roman" w:hAnsi="Times New Roman"/>
          <w:sz w:val="24"/>
          <w:szCs w:val="24"/>
        </w:rPr>
        <w:t>Providenciar todas as publica</w:t>
      </w:r>
      <w:r>
        <w:rPr>
          <w:rFonts w:hint="default" w:ascii="Times New Roman" w:hAnsi="Times New Roman"/>
          <w:sz w:val="24"/>
          <w:szCs w:val="24"/>
          <w:lang w:val="pt-BR"/>
        </w:rPr>
        <w:t>çõ</w:t>
      </w:r>
      <w:r>
        <w:rPr>
          <w:rFonts w:ascii="Times New Roman" w:hAnsi="Times New Roman"/>
          <w:sz w:val="24"/>
          <w:szCs w:val="24"/>
        </w:rPr>
        <w:t>es oficiais pertinentes no Di</w:t>
      </w:r>
      <w:r>
        <w:rPr>
          <w:rFonts w:hint="default"/>
          <w:sz w:val="24"/>
          <w:szCs w:val="24"/>
          <w:lang w:val="pt-BR"/>
        </w:rPr>
        <w:t>á</w:t>
      </w:r>
      <w:r>
        <w:rPr>
          <w:rFonts w:ascii="Times New Roman" w:hAnsi="Times New Roman"/>
          <w:sz w:val="24"/>
          <w:szCs w:val="24"/>
        </w:rPr>
        <w:t>rio Oficial da Uni</w:t>
      </w:r>
      <w:r>
        <w:rPr>
          <w:rFonts w:hint="default"/>
          <w:sz w:val="24"/>
          <w:szCs w:val="24"/>
          <w:lang w:val="pt-BR"/>
        </w:rPr>
        <w:t>ã</w:t>
      </w:r>
      <w:r>
        <w:rPr>
          <w:rFonts w:ascii="Times New Roman" w:hAnsi="Times New Roman"/>
          <w:sz w:val="24"/>
          <w:szCs w:val="24"/>
        </w:rPr>
        <w:t>o.</w:t>
      </w:r>
    </w:p>
    <w:p>
      <w:pPr>
        <w:numPr>
          <w:numId w:val="0"/>
        </w:numPr>
        <w:overflowPunct w:val="0"/>
        <w:autoSpaceDE w:val="0"/>
        <w:autoSpaceDN w:val="0"/>
        <w:adjustRightInd w:val="0"/>
        <w:spacing w:after="0" w:line="240" w:lineRule="auto"/>
        <w:jc w:val="both"/>
        <w:textAlignment w:val="baseline"/>
        <w:rPr>
          <w:snapToGrid w:val="0"/>
          <w:sz w:val="24"/>
          <w:szCs w:val="24"/>
        </w:rPr>
      </w:pPr>
    </w:p>
    <w:p>
      <w:pPr>
        <w:jc w:val="both"/>
        <w:rPr>
          <w:snapToGrid w:val="0"/>
          <w:sz w:val="24"/>
          <w:szCs w:val="24"/>
        </w:rPr>
      </w:pPr>
    </w:p>
    <w:p>
      <w:pPr>
        <w:keepNext/>
        <w:keepLines/>
        <w:widowControl w:val="0"/>
        <w:jc w:val="both"/>
        <w:rPr>
          <w:b/>
          <w:iCs/>
          <w:sz w:val="24"/>
          <w:szCs w:val="24"/>
        </w:rPr>
      </w:pPr>
      <w:r>
        <w:rPr>
          <w:b/>
          <w:iCs/>
          <w:sz w:val="24"/>
          <w:szCs w:val="24"/>
        </w:rPr>
        <w:t>CLÁUSULA DÉCIMA PRIMEIRA – DAS PENALIDADES MULTA E RESCISÃO</w:t>
      </w:r>
    </w:p>
    <w:p>
      <w:pPr>
        <w:pStyle w:val="46"/>
        <w:numPr>
          <w:ilvl w:val="1"/>
          <w:numId w:val="27"/>
        </w:numPr>
        <w:overflowPunct w:val="0"/>
        <w:autoSpaceDE w:val="0"/>
        <w:autoSpaceDN w:val="0"/>
        <w:adjustRightInd w:val="0"/>
        <w:spacing w:after="0" w:line="240" w:lineRule="auto"/>
        <w:ind w:left="1014" w:leftChars="0" w:hanging="414" w:firstLineChars="0"/>
        <w:jc w:val="both"/>
        <w:textAlignment w:val="baseline"/>
        <w:rPr>
          <w:rFonts w:ascii="Times New Roman" w:hAnsi="Times New Roman"/>
          <w:color w:val="000000"/>
          <w:sz w:val="24"/>
          <w:szCs w:val="24"/>
        </w:rPr>
      </w:pPr>
      <w:r>
        <w:rPr>
          <w:rFonts w:ascii="Times New Roman" w:hAnsi="Times New Roman"/>
          <w:color w:val="000000"/>
          <w:sz w:val="24"/>
          <w:szCs w:val="24"/>
        </w:rPr>
        <w:t xml:space="preserve"> O atraso injustificado na execução da obra sujeitará o contratado à multa de mora, de acordo com os seguintes percentuais, garantida prévia defesa:</w:t>
      </w:r>
    </w:p>
    <w:p>
      <w:pPr>
        <w:ind w:left="142"/>
        <w:jc w:val="both"/>
        <w:rPr>
          <w:sz w:val="24"/>
          <w:szCs w:val="24"/>
        </w:rPr>
      </w:pPr>
    </w:p>
    <w:p>
      <w:pPr>
        <w:numPr>
          <w:ilvl w:val="0"/>
          <w:numId w:val="28"/>
        </w:numPr>
        <w:tabs>
          <w:tab w:val="left" w:pos="-5670"/>
        </w:tabs>
        <w:overflowPunct w:val="0"/>
        <w:autoSpaceDE w:val="0"/>
        <w:autoSpaceDN w:val="0"/>
        <w:adjustRightInd w:val="0"/>
        <w:spacing w:after="0" w:line="240" w:lineRule="auto"/>
        <w:ind w:left="567"/>
        <w:jc w:val="both"/>
        <w:textAlignment w:val="baseline"/>
        <w:rPr>
          <w:sz w:val="24"/>
          <w:szCs w:val="24"/>
        </w:rPr>
      </w:pPr>
      <w:r>
        <w:rPr>
          <w:sz w:val="24"/>
          <w:szCs w:val="24"/>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jc w:val="both"/>
        <w:rPr>
          <w:sz w:val="24"/>
          <w:szCs w:val="24"/>
        </w:rPr>
      </w:pPr>
    </w:p>
    <w:p>
      <w:pPr>
        <w:numPr>
          <w:ilvl w:val="0"/>
          <w:numId w:val="28"/>
        </w:numPr>
        <w:tabs>
          <w:tab w:val="left" w:pos="-5670"/>
        </w:tabs>
        <w:overflowPunct w:val="0"/>
        <w:autoSpaceDE w:val="0"/>
        <w:autoSpaceDN w:val="0"/>
        <w:adjustRightInd w:val="0"/>
        <w:spacing w:after="0" w:line="240" w:lineRule="auto"/>
        <w:ind w:left="567"/>
        <w:jc w:val="both"/>
        <w:textAlignment w:val="baseline"/>
        <w:rPr>
          <w:bCs/>
          <w:sz w:val="24"/>
          <w:szCs w:val="24"/>
        </w:rPr>
      </w:pPr>
      <w:r>
        <w:rPr>
          <w:sz w:val="24"/>
          <w:szCs w:val="24"/>
        </w:rPr>
        <w:t xml:space="preserve"> De 0,7% (sete décimos por cento) ao dia, sobre o valor do contrato, quando o adjudicatário, sem justa causa, cumprir com a obrigação assumida, com atraso superior a 30 (trinta) dias do prazo estabelecido;</w:t>
      </w:r>
    </w:p>
    <w:p>
      <w:pPr>
        <w:tabs>
          <w:tab w:val="left" w:pos="851"/>
        </w:tabs>
        <w:ind w:left="567"/>
        <w:jc w:val="both"/>
        <w:rPr>
          <w:b/>
          <w:bCs/>
          <w:sz w:val="24"/>
          <w:szCs w:val="24"/>
        </w:rPr>
      </w:pPr>
    </w:p>
    <w:p>
      <w:pPr>
        <w:jc w:val="both"/>
        <w:rPr>
          <w:sz w:val="24"/>
          <w:szCs w:val="24"/>
        </w:rPr>
      </w:pPr>
      <w:r>
        <w:rPr>
          <w:b/>
          <w:bCs/>
          <w:sz w:val="24"/>
          <w:szCs w:val="24"/>
        </w:rPr>
        <w:t xml:space="preserve">Parágrafo único; </w:t>
      </w:r>
      <w:r>
        <w:rPr>
          <w:sz w:val="24"/>
          <w:szCs w:val="24"/>
        </w:rPr>
        <w:t>as multas previstas neste item serão calculadas considerando-se os dias consecutivos a partir do dia útil imediatamente.</w:t>
      </w:r>
    </w:p>
    <w:p>
      <w:pPr>
        <w:ind w:left="142"/>
        <w:jc w:val="both"/>
        <w:rPr>
          <w:b/>
          <w:bCs/>
          <w:sz w:val="24"/>
          <w:szCs w:val="24"/>
        </w:rPr>
      </w:pPr>
    </w:p>
    <w:p>
      <w:pPr>
        <w:pStyle w:val="46"/>
        <w:numPr>
          <w:ilvl w:val="1"/>
          <w:numId w:val="27"/>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Pela inexecução total ou parcial do contrato a Prefeitura Municipal de Naviraí, poderá garantida prévia defesa, aplicar ao contratado as seguintes sanções:</w:t>
      </w:r>
    </w:p>
    <w:p>
      <w:pPr>
        <w:jc w:val="both"/>
        <w:rPr>
          <w:sz w:val="24"/>
          <w:szCs w:val="24"/>
        </w:rPr>
      </w:pPr>
    </w:p>
    <w:p>
      <w:pPr>
        <w:numPr>
          <w:ilvl w:val="0"/>
          <w:numId w:val="29"/>
        </w:numPr>
        <w:spacing w:after="0" w:line="240" w:lineRule="auto"/>
        <w:ind w:left="567" w:leftChars="0" w:firstLine="833" w:firstLineChars="0"/>
        <w:jc w:val="both"/>
        <w:rPr>
          <w:sz w:val="24"/>
          <w:szCs w:val="24"/>
        </w:rPr>
      </w:pPr>
      <w:r>
        <w:rPr>
          <w:sz w:val="24"/>
          <w:szCs w:val="24"/>
        </w:rPr>
        <w:t>Advertência;</w:t>
      </w:r>
    </w:p>
    <w:p>
      <w:pPr>
        <w:numPr>
          <w:ilvl w:val="0"/>
          <w:numId w:val="29"/>
        </w:numPr>
        <w:spacing w:after="0" w:line="240" w:lineRule="auto"/>
        <w:ind w:left="567" w:leftChars="0" w:firstLine="833" w:firstLineChars="0"/>
        <w:jc w:val="both"/>
        <w:rPr>
          <w:sz w:val="24"/>
          <w:szCs w:val="24"/>
        </w:rPr>
      </w:pPr>
      <w:r>
        <w:rPr>
          <w:sz w:val="24"/>
          <w:szCs w:val="24"/>
        </w:rPr>
        <w:t>Multa;</w:t>
      </w:r>
    </w:p>
    <w:p>
      <w:pPr>
        <w:ind w:left="142"/>
        <w:jc w:val="both"/>
        <w:rPr>
          <w:sz w:val="24"/>
          <w:szCs w:val="24"/>
        </w:rPr>
      </w:pP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dos serviços não realizados, após a rescisão do contrato, por ter o adjudicatário cumprido apenas parcialmente a obra;</w:t>
      </w:r>
    </w:p>
    <w:p>
      <w:pPr>
        <w:tabs>
          <w:tab w:val="left" w:pos="-5670"/>
        </w:tabs>
        <w:ind w:left="567"/>
        <w:jc w:val="both"/>
        <w:rPr>
          <w:sz w:val="24"/>
          <w:szCs w:val="24"/>
        </w:rPr>
      </w:pPr>
    </w:p>
    <w:p>
      <w:pPr>
        <w:numPr>
          <w:ilvl w:val="0"/>
          <w:numId w:val="30"/>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jc w:val="both"/>
        <w:rPr>
          <w:sz w:val="24"/>
          <w:szCs w:val="24"/>
        </w:rPr>
      </w:pPr>
    </w:p>
    <w:p>
      <w:pPr>
        <w:tabs>
          <w:tab w:val="left" w:pos="5954"/>
        </w:tabs>
        <w:ind w:left="142"/>
        <w:jc w:val="both"/>
        <w:rPr>
          <w:sz w:val="24"/>
          <w:szCs w:val="24"/>
        </w:rPr>
      </w:pPr>
      <w:r>
        <w:rPr>
          <w:b/>
          <w:bCs/>
          <w:sz w:val="24"/>
          <w:szCs w:val="24"/>
        </w:rPr>
        <w:t>Parágrafo único:</w:t>
      </w:r>
      <w:r>
        <w:rPr>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after="0" w:line="240" w:lineRule="auto"/>
        <w:jc w:val="both"/>
        <w:rPr>
          <w:sz w:val="24"/>
          <w:szCs w:val="24"/>
        </w:rPr>
      </w:pPr>
      <w:r>
        <w:rPr>
          <w:b/>
          <w:sz w:val="24"/>
          <w:szCs w:val="24"/>
        </w:rPr>
        <w:t>III</w:t>
      </w:r>
      <w:r>
        <w:rPr>
          <w:sz w:val="24"/>
          <w:szCs w:val="24"/>
        </w:rPr>
        <w:t xml:space="preserve"> Suspensão do direito de participar de licitações com a administração pelo prazo de 02 (dois) anos;</w:t>
      </w:r>
    </w:p>
    <w:p>
      <w:pPr>
        <w:spacing w:after="0" w:line="240" w:lineRule="auto"/>
        <w:jc w:val="both"/>
        <w:rPr>
          <w:sz w:val="24"/>
          <w:szCs w:val="24"/>
        </w:rPr>
      </w:pPr>
      <w:r>
        <w:rPr>
          <w:b/>
          <w:sz w:val="24"/>
          <w:szCs w:val="24"/>
        </w:rPr>
        <w:t xml:space="preserve">IV </w:t>
      </w:r>
      <w:r>
        <w:rPr>
          <w:sz w:val="24"/>
          <w:szCs w:val="24"/>
        </w:rPr>
        <w:t>Declaração de inidoneidade para licitar ou contratar com a administração pública;</w:t>
      </w:r>
    </w:p>
    <w:p>
      <w:pPr>
        <w:tabs>
          <w:tab w:val="left" w:pos="5954"/>
        </w:tabs>
        <w:ind w:left="142"/>
        <w:jc w:val="both"/>
        <w:rPr>
          <w:b/>
          <w:bCs/>
          <w:sz w:val="24"/>
          <w:szCs w:val="24"/>
        </w:rPr>
      </w:pPr>
    </w:p>
    <w:p>
      <w:pPr>
        <w:tabs>
          <w:tab w:val="left" w:pos="5954"/>
        </w:tabs>
        <w:jc w:val="both"/>
        <w:rPr>
          <w:sz w:val="24"/>
          <w:szCs w:val="24"/>
        </w:rPr>
      </w:pPr>
      <w:r>
        <w:rPr>
          <w:b/>
          <w:bCs/>
          <w:sz w:val="24"/>
          <w:szCs w:val="24"/>
        </w:rPr>
        <w:t>Parágrafo único:</w:t>
      </w:r>
      <w:r>
        <w:rPr>
          <w:sz w:val="24"/>
          <w:szCs w:val="24"/>
        </w:rPr>
        <w:t xml:space="preserve"> declarar-se inidôneo o adjudicatário que, sem justa causa, não cumprir as obrigações assumidas, praticando a juízo da administração falta grave, revestida de dolo.</w:t>
      </w: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III e IV</w:t>
      </w:r>
      <w:r>
        <w:rPr>
          <w:sz w:val="24"/>
          <w:szCs w:val="24"/>
        </w:rPr>
        <w:t xml:space="preserve"> do item </w:t>
      </w:r>
      <w:r>
        <w:rPr>
          <w:b/>
          <w:color w:val="FF0000"/>
          <w:sz w:val="24"/>
          <w:szCs w:val="24"/>
        </w:rPr>
        <w:t>11.2</w:t>
      </w:r>
      <w:r>
        <w:rPr>
          <w:sz w:val="24"/>
          <w:szCs w:val="24"/>
        </w:rPr>
        <w:t xml:space="preserve"> poderão também ser aplicadas ao adjudicatário que:</w:t>
      </w:r>
    </w:p>
    <w:p>
      <w:pPr>
        <w:ind w:left="567"/>
        <w:jc w:val="both"/>
        <w:rPr>
          <w:sz w:val="24"/>
          <w:szCs w:val="24"/>
        </w:rPr>
      </w:pP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sofrido condenação definitiva por praticar por meios dolosos, fraude fiscal no recolhimento de quaisquer tributos.</w:t>
      </w: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praticado atos ilícitos visando frustrar os objetivos da licitação;</w:t>
      </w:r>
    </w:p>
    <w:p>
      <w:pPr>
        <w:numPr>
          <w:ilvl w:val="0"/>
          <w:numId w:val="3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Demonstre não possuir idoneidade para contratar com a administração em virtude de atos ilícitos praticados.</w:t>
      </w:r>
    </w:p>
    <w:p>
      <w:pPr>
        <w:tabs>
          <w:tab w:val="left" w:pos="-5245"/>
        </w:tabs>
        <w:overflowPunct w:val="0"/>
        <w:autoSpaceDE w:val="0"/>
        <w:autoSpaceDN w:val="0"/>
        <w:adjustRightInd w:val="0"/>
        <w:spacing w:after="0" w:line="240" w:lineRule="auto"/>
        <w:ind w:left="567"/>
        <w:jc w:val="both"/>
        <w:textAlignment w:val="baseline"/>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 III e IV</w:t>
      </w:r>
      <w:r>
        <w:rPr>
          <w:sz w:val="24"/>
          <w:szCs w:val="24"/>
        </w:rPr>
        <w:t xml:space="preserve"> do item </w:t>
      </w:r>
      <w:r>
        <w:rPr>
          <w:b/>
          <w:color w:val="FF0000"/>
          <w:sz w:val="24"/>
          <w:szCs w:val="24"/>
        </w:rPr>
        <w:t>11.2</w:t>
      </w:r>
      <w:r>
        <w:rPr>
          <w:sz w:val="24"/>
          <w:szCs w:val="24"/>
        </w:rPr>
        <w:t>, poderão ser aplicadas juntamente com a do inciso II do mesmo item, facultada a defesa prévia do interessado, no respectivo processo, no prazo de 05 (cinco) dias úteis e serão aplicadas pela autoridade competente.</w:t>
      </w: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bCs/>
          <w:sz w:val="24"/>
          <w:szCs w:val="24"/>
        </w:rPr>
      </w:pPr>
      <w:r>
        <w:rPr>
          <w:bCs/>
          <w:sz w:val="24"/>
          <w:szCs w:val="24"/>
        </w:rPr>
        <w:t xml:space="preserve">A </w:t>
      </w:r>
      <w:r>
        <w:rPr>
          <w:sz w:val="24"/>
          <w:szCs w:val="24"/>
        </w:rPr>
        <w:t>Rescisão</w:t>
      </w:r>
      <w:r>
        <w:rPr>
          <w:bCs/>
          <w:sz w:val="24"/>
          <w:szCs w:val="24"/>
        </w:rPr>
        <w:t xml:space="preserve"> do Contrato poderá ocorrer da seguinte forma:</w:t>
      </w:r>
    </w:p>
    <w:p>
      <w:pPr>
        <w:numPr>
          <w:ilvl w:val="0"/>
          <w:numId w:val="3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não cumprimento de cláusulas contratuais, especificações, projetos ou prazos;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cumprimento irregular de cláusulas contratuais, especificações, projetos e prazos;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lentidão de seu cumprimento, levando a Administração a comprovar a impossibilidade de conclusão dos serviços no prazo estipulado;</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atraso injustificado no início dos serviços;</w:t>
      </w:r>
    </w:p>
    <w:p>
      <w:pPr>
        <w:numPr>
          <w:ilvl w:val="0"/>
          <w:numId w:val="32"/>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paralisação dos serviços, sem justa causa e prévia comunicação à Administração;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desatendimento das determinações regulares da autoridade designada para acompanhar e fiscalizar a sua execução, assim como as de seus superiores;</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cometimento reiterado de faltas na sua execução, anotados na forma do parágrafo 1º do art. 67 da Lei Federal 8.666/93;</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decretação de falência ou a instauração de insolvência civil;</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dissolução da sociedade ou falecimento do contratado;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alteração social ou a modificação da finalidade ou da estrutura da empresa, que  prejudique a execução do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ocorrência de caso fortuito ou de força maior, regularmente comprovada, impeditiva da execução do contrato;</w:t>
      </w:r>
    </w:p>
    <w:p>
      <w:pPr>
        <w:numPr>
          <w:ilvl w:val="0"/>
          <w:numId w:val="32"/>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Amigável entre as partes, reduzida a termo no processo de licitação, desde que haja conveniência para a contratante;</w:t>
      </w:r>
    </w:p>
    <w:p>
      <w:pPr>
        <w:numPr>
          <w:ilvl w:val="0"/>
          <w:numId w:val="3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Judicial, nos termos da legislação;</w:t>
      </w:r>
    </w:p>
    <w:p>
      <w:pPr>
        <w:jc w:val="both"/>
        <w:rPr>
          <w:b/>
          <w:bCs/>
          <w:sz w:val="24"/>
          <w:szCs w:val="24"/>
        </w:rPr>
      </w:pPr>
    </w:p>
    <w:p>
      <w:pPr>
        <w:jc w:val="both"/>
        <w:rPr>
          <w:bCs/>
          <w:sz w:val="24"/>
          <w:szCs w:val="24"/>
        </w:rPr>
      </w:pPr>
      <w:r>
        <w:rPr>
          <w:b/>
          <w:bCs/>
          <w:sz w:val="24"/>
          <w:szCs w:val="24"/>
        </w:rPr>
        <w:t>Parágrafo Único:</w:t>
      </w:r>
      <w:r>
        <w:rPr>
          <w:bCs/>
          <w:sz w:val="24"/>
          <w:szCs w:val="24"/>
        </w:rPr>
        <w:t xml:space="preserve"> Os casos de rescisão contratual serão formalmente motivados nos autos do processo, assegurado o contraditório e a ampla defesa.</w:t>
      </w: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Rescisão administrativa ou amigável deverá ser procedida de autorização escrita e fundamentada da </w:t>
      </w:r>
      <w:r>
        <w:rPr>
          <w:bCs/>
          <w:sz w:val="24"/>
          <w:szCs w:val="24"/>
        </w:rPr>
        <w:t>autoridade</w:t>
      </w:r>
      <w:r>
        <w:rPr>
          <w:sz w:val="24"/>
          <w:szCs w:val="24"/>
        </w:rPr>
        <w:t xml:space="preserve"> competente.</w:t>
      </w:r>
    </w:p>
    <w:p>
      <w:pPr>
        <w:jc w:val="both"/>
        <w:rPr>
          <w:sz w:val="24"/>
          <w:szCs w:val="24"/>
        </w:rPr>
      </w:pPr>
    </w:p>
    <w:p>
      <w:pPr>
        <w:keepNext/>
        <w:keepLines/>
        <w:widowControl w:val="0"/>
        <w:spacing w:before="20"/>
        <w:jc w:val="both"/>
        <w:rPr>
          <w:b/>
          <w:iCs/>
          <w:sz w:val="24"/>
          <w:szCs w:val="24"/>
        </w:rPr>
      </w:pPr>
      <w:r>
        <w:rPr>
          <w:b/>
          <w:iCs/>
          <w:sz w:val="24"/>
          <w:szCs w:val="24"/>
        </w:rPr>
        <w:t>CLÁUSULA DÉCIMA SEGUNDA – DISPOSIÇÕES GERAIS:</w:t>
      </w:r>
    </w:p>
    <w:p>
      <w:pPr>
        <w:pStyle w:val="46"/>
        <w:numPr>
          <w:ilvl w:val="1"/>
          <w:numId w:val="33"/>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ind w:left="567"/>
        <w:jc w:val="both"/>
        <w:rPr>
          <w:sz w:val="24"/>
          <w:szCs w:val="24"/>
        </w:rPr>
      </w:pPr>
    </w:p>
    <w:p>
      <w:pPr>
        <w:pStyle w:val="46"/>
        <w:numPr>
          <w:ilvl w:val="1"/>
          <w:numId w:val="33"/>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Os custos que vierem a ocorrer devido a Tarifa de Vistoria Extra, serão de responsabilidade da empresa contratada. </w:t>
      </w:r>
    </w:p>
    <w:p>
      <w:pPr>
        <w:ind w:right="-618"/>
        <w:jc w:val="both"/>
        <w:rPr>
          <w:sz w:val="24"/>
          <w:szCs w:val="24"/>
        </w:rPr>
      </w:pPr>
    </w:p>
    <w:p>
      <w:pPr>
        <w:keepNext/>
        <w:keepLines/>
        <w:widowControl w:val="0"/>
        <w:spacing w:before="20"/>
        <w:jc w:val="both"/>
        <w:rPr>
          <w:b/>
          <w:iCs/>
          <w:sz w:val="24"/>
          <w:szCs w:val="24"/>
        </w:rPr>
      </w:pPr>
      <w:r>
        <w:rPr>
          <w:b/>
          <w:iCs/>
          <w:sz w:val="24"/>
          <w:szCs w:val="24"/>
        </w:rPr>
        <w:t>CLÁUSULA DECIMA TERCEIRA – DA FISCALIZAÇÃO DO CONTRATO</w:t>
      </w:r>
    </w:p>
    <w:p>
      <w:pPr>
        <w:ind w:right="-96"/>
        <w:jc w:val="both"/>
        <w:rPr>
          <w:bCs/>
          <w:iCs/>
          <w:sz w:val="24"/>
          <w:szCs w:val="24"/>
        </w:rPr>
      </w:pPr>
      <w:r>
        <w:rPr>
          <w:iCs/>
          <w:sz w:val="24"/>
          <w:szCs w:val="24"/>
        </w:rPr>
        <w:t>13.1</w:t>
      </w:r>
      <w:r>
        <w:rPr>
          <w:b/>
          <w:iCs/>
          <w:sz w:val="24"/>
          <w:szCs w:val="24"/>
        </w:rPr>
        <w:t xml:space="preserve"> – </w:t>
      </w:r>
      <w:r>
        <w:rPr>
          <w:bCs/>
          <w:iCs/>
          <w:sz w:val="24"/>
          <w:szCs w:val="24"/>
        </w:rPr>
        <w:t>Será responsável por fiscalizar a execução do presente contrato, a pessoa indicada no Ato intitulado “ATO DE DESIGNAÇÃO DE FISCAL DE CONTRATO”.</w:t>
      </w:r>
    </w:p>
    <w:p>
      <w:pPr>
        <w:keepNext/>
        <w:keepLines/>
        <w:widowControl w:val="0"/>
        <w:spacing w:before="20"/>
        <w:jc w:val="both"/>
        <w:rPr>
          <w:b/>
          <w:iCs/>
          <w:sz w:val="24"/>
          <w:szCs w:val="24"/>
        </w:rPr>
      </w:pPr>
      <w:r>
        <w:rPr>
          <w:b/>
          <w:iCs/>
          <w:sz w:val="24"/>
          <w:szCs w:val="24"/>
        </w:rPr>
        <w:t>CLÁUSULA DÉCIMA QUARTA – FORO</w:t>
      </w: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partes elegem o Foro da Comarca de Naviraí – MS, com expressa renúncia de qualquer outro, por mais privilegiado que seja para dirimir todas e quaisquer dúvidas decorrentes deste Contrato.</w:t>
      </w:r>
    </w:p>
    <w:p>
      <w:pPr>
        <w:ind w:left="567"/>
        <w:jc w:val="both"/>
        <w:rPr>
          <w:sz w:val="24"/>
          <w:szCs w:val="24"/>
        </w:rPr>
      </w:pP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 - E por estarem justas e contratadas, foi lavrado o presente Contrato em 02 (duas) vias de igual teor e forma, o qual lido e achado conforme, é assinado pelas contratantes perante as testemunhas que também o subscrevem.</w:t>
      </w:r>
    </w:p>
    <w:p>
      <w:pPr>
        <w:overflowPunct w:val="0"/>
        <w:autoSpaceDE w:val="0"/>
        <w:autoSpaceDN w:val="0"/>
        <w:adjustRightInd w:val="0"/>
        <w:spacing w:after="0" w:line="240" w:lineRule="auto"/>
        <w:ind w:left="567"/>
        <w:jc w:val="both"/>
        <w:textAlignment w:val="baseline"/>
        <w:rPr>
          <w:rFonts w:eastAsia="Times New Roman"/>
          <w:i/>
          <w:sz w:val="24"/>
          <w:szCs w:val="24"/>
          <w:lang w:eastAsia="pt-BR"/>
        </w:rPr>
      </w:pPr>
    </w:p>
    <w:p>
      <w:pPr>
        <w:overflowPunct w:val="0"/>
        <w:autoSpaceDE w:val="0"/>
        <w:autoSpaceDN w:val="0"/>
        <w:adjustRightInd w:val="0"/>
        <w:spacing w:after="0" w:line="240" w:lineRule="auto"/>
        <w:jc w:val="right"/>
        <w:textAlignment w:val="baseline"/>
        <w:rPr>
          <w:rFonts w:eastAsia="Times New Roman"/>
          <w:i/>
          <w:sz w:val="24"/>
          <w:szCs w:val="24"/>
          <w:lang w:eastAsia="pt-BR"/>
        </w:rPr>
      </w:pPr>
      <w:r>
        <w:rPr>
          <w:rFonts w:eastAsia="Times New Roman"/>
          <w:i/>
          <w:sz w:val="24"/>
          <w:szCs w:val="24"/>
          <w:lang w:eastAsia="pt-BR"/>
        </w:rPr>
        <w:t xml:space="preserve">Naviraí – MS, </w:t>
      </w:r>
      <w:r>
        <w:rPr>
          <w:rFonts w:eastAsia="Times New Roman"/>
          <w:i/>
          <w:sz w:val="24"/>
          <w:szCs w:val="24"/>
          <w:u w:val="single"/>
          <w:lang w:eastAsia="pt-BR"/>
        </w:rPr>
        <w:t>______  / ______  /2021.</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tbl>
      <w:tblPr>
        <w:tblStyle w:val="12"/>
        <w:tblW w:w="960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37"/>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5637" w:type="dxa"/>
            <w:tcBorders>
              <w:top w:val="nil"/>
              <w:left w:val="nil"/>
              <w:bottom w:val="nil"/>
              <w:right w:val="nil"/>
            </w:tcBorders>
          </w:tcPr>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JORGE LUÍS DE LÚCIA</w:t>
            </w:r>
          </w:p>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Ger. de Obras e Ordenadora de Despesas</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Conforme Decreto nº 011/2021</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Contratante</w:t>
            </w:r>
          </w:p>
        </w:tc>
        <w:tc>
          <w:tcPr>
            <w:tcW w:w="3969" w:type="dxa"/>
            <w:tcBorders>
              <w:top w:val="nil"/>
              <w:left w:val="nil"/>
              <w:bottom w:val="nil"/>
              <w:right w:val="nil"/>
            </w:tcBorders>
          </w:tcPr>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CPF nº.</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Contratada</w:t>
            </w:r>
            <w:r>
              <w:rPr>
                <w:rFonts w:eastAsia="Times New Roman"/>
                <w:b/>
                <w:iCs/>
                <w:sz w:val="24"/>
                <w:szCs w:val="24"/>
                <w:lang w:eastAsia="pt-BR"/>
              </w:rPr>
              <w:tab/>
            </w:r>
          </w:p>
        </w:tc>
      </w:tr>
    </w:tbl>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iCs/>
          <w:sz w:val="24"/>
          <w:szCs w:val="24"/>
          <w:lang w:eastAsia="pt-BR"/>
        </w:rPr>
      </w:pPr>
      <w:r>
        <w:rPr>
          <w:rFonts w:eastAsia="Times New Roman"/>
          <w:iCs/>
          <w:sz w:val="24"/>
          <w:szCs w:val="24"/>
          <w:lang w:eastAsia="pt-BR"/>
        </w:rPr>
        <w:t>Testemunhas:</w:t>
      </w:r>
    </w:p>
    <w:p>
      <w:pPr>
        <w:overflowPunct w:val="0"/>
        <w:autoSpaceDE w:val="0"/>
        <w:autoSpaceDN w:val="0"/>
        <w:adjustRightInd w:val="0"/>
        <w:spacing w:after="0" w:line="240" w:lineRule="auto"/>
        <w:jc w:val="both"/>
        <w:textAlignment w:val="baseline"/>
        <w:rPr>
          <w:rFonts w:eastAsia="Times New Roman"/>
          <w:b/>
          <w:color w:val="008000"/>
          <w:sz w:val="24"/>
          <w:szCs w:val="24"/>
          <w:lang w:eastAsia="pt-BR"/>
        </w:rPr>
      </w:pPr>
    </w:p>
    <w:p>
      <w:pPr>
        <w:overflowPunct w:val="0"/>
        <w:autoSpaceDE w:val="0"/>
        <w:autoSpaceDN w:val="0"/>
        <w:adjustRightInd w:val="0"/>
        <w:spacing w:after="0" w:line="240" w:lineRule="auto"/>
        <w:jc w:val="both"/>
        <w:textAlignment w:val="baseline"/>
        <w:rPr>
          <w:rFonts w:eastAsia="Times New Roman"/>
          <w:b/>
          <w:color w:val="008000"/>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r>
        <w:drawing>
          <wp:inline distT="0" distB="0" distL="114300" distR="114300">
            <wp:extent cx="6118225" cy="8651875"/>
            <wp:effectExtent l="0" t="0" r="15875" b="15875"/>
            <wp:docPr id="3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9"/>
                    <pic:cNvPicPr>
                      <a:picLocks noChangeAspect="1"/>
                    </pic:cNvPicPr>
                  </pic:nvPicPr>
                  <pic:blipFill>
                    <a:blip r:embed="rId9"/>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0"/>
                    <pic:cNvPicPr>
                      <a:picLocks noChangeAspect="1"/>
                    </pic:cNvPicPr>
                  </pic:nvPicPr>
                  <pic:blipFill>
                    <a:blip r:embed="rId10"/>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11"/>
                    <pic:cNvPicPr>
                      <a:picLocks noChangeAspect="1"/>
                    </pic:cNvPicPr>
                  </pic:nvPicPr>
                  <pic:blipFill>
                    <a:blip r:embed="rId11"/>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2"/>
                    <pic:cNvPicPr>
                      <a:picLocks noChangeAspect="1"/>
                    </pic:cNvPicPr>
                  </pic:nvPicPr>
                  <pic:blipFill>
                    <a:blip r:embed="rId12"/>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3"/>
                    <pic:cNvPicPr>
                      <a:picLocks noChangeAspect="1"/>
                    </pic:cNvPicPr>
                  </pic:nvPicPr>
                  <pic:blipFill>
                    <a:blip r:embed="rId13"/>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4"/>
                    <pic:cNvPicPr>
                      <a:picLocks noChangeAspect="1"/>
                    </pic:cNvPicPr>
                  </pic:nvPicPr>
                  <pic:blipFill>
                    <a:blip r:embed="rId14"/>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3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5"/>
                    <pic:cNvPicPr>
                      <a:picLocks noChangeAspect="1"/>
                    </pic:cNvPicPr>
                  </pic:nvPicPr>
                  <pic:blipFill>
                    <a:blip r:embed="rId15"/>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drawing>
          <wp:inline distT="0" distB="0" distL="114300" distR="114300">
            <wp:extent cx="6118225" cy="8651875"/>
            <wp:effectExtent l="0" t="0" r="15875" b="15875"/>
            <wp:docPr id="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6"/>
                    <pic:cNvPicPr>
                      <a:picLocks noChangeAspect="1"/>
                    </pic:cNvPicPr>
                  </pic:nvPicPr>
                  <pic:blipFill>
                    <a:blip r:embed="rId16"/>
                    <a:stretch>
                      <a:fillRect/>
                    </a:stretch>
                  </pic:blipFill>
                  <pic:spPr>
                    <a:xfrm>
                      <a:off x="0" y="0"/>
                      <a:ext cx="6118225" cy="865187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rPr>
          <w:b/>
          <w:sz w:val="24"/>
          <w:szCs w:val="24"/>
        </w:rPr>
        <w:t>TO DE DESIGNAÇÃO DO FISCAL CONTRATO Nº ______/2021</w:t>
      </w:r>
    </w:p>
    <w:p>
      <w:pPr>
        <w:tabs>
          <w:tab w:val="left" w:pos="10632"/>
          <w:tab w:val="left" w:pos="10773"/>
          <w:tab w:val="left" w:pos="10915"/>
          <w:tab w:val="left" w:pos="11199"/>
        </w:tabs>
        <w:spacing w:line="360" w:lineRule="auto"/>
        <w:ind w:right="46"/>
        <w:jc w:val="both"/>
        <w:rPr>
          <w:b/>
          <w:sz w:val="24"/>
          <w:szCs w:val="24"/>
        </w:rPr>
      </w:pPr>
      <w:r>
        <w:rPr>
          <w:b/>
          <w:sz w:val="24"/>
          <w:szCs w:val="24"/>
        </w:rPr>
        <w:t>PROCESSO Nº 037/2021</w:t>
      </w:r>
    </w:p>
    <w:p>
      <w:pPr>
        <w:tabs>
          <w:tab w:val="left" w:pos="10632"/>
          <w:tab w:val="left" w:pos="10773"/>
          <w:tab w:val="left" w:pos="10915"/>
          <w:tab w:val="left" w:pos="11199"/>
        </w:tabs>
        <w:spacing w:line="360" w:lineRule="auto"/>
        <w:ind w:right="46"/>
        <w:jc w:val="both"/>
        <w:rPr>
          <w:b/>
          <w:sz w:val="24"/>
          <w:szCs w:val="24"/>
        </w:rPr>
      </w:pPr>
      <w:r>
        <w:rPr>
          <w:b/>
          <w:sz w:val="24"/>
          <w:szCs w:val="24"/>
        </w:rPr>
        <w:t>TOMADA DE PREÇO Nº.  003/2021</w:t>
      </w:r>
    </w:p>
    <w:p>
      <w:pPr>
        <w:tabs>
          <w:tab w:val="left" w:pos="10632"/>
          <w:tab w:val="left" w:pos="10773"/>
          <w:tab w:val="left" w:pos="10915"/>
          <w:tab w:val="left" w:pos="11199"/>
        </w:tabs>
        <w:spacing w:line="360" w:lineRule="auto"/>
        <w:ind w:right="46"/>
        <w:jc w:val="both"/>
        <w:rPr>
          <w:b/>
          <w:sz w:val="24"/>
          <w:szCs w:val="24"/>
        </w:rPr>
      </w:pPr>
      <w:r>
        <w:rPr>
          <w:b/>
          <w:sz w:val="24"/>
          <w:szCs w:val="24"/>
        </w:rPr>
        <w:t>EMPRESA:__________________________________________________________</w:t>
      </w:r>
      <w:r>
        <w:rPr>
          <w:iCs/>
          <w:sz w:val="24"/>
          <w:szCs w:val="24"/>
        </w:rPr>
        <w:t xml:space="preserve"> </w:t>
      </w:r>
    </w:p>
    <w:p>
      <w:pPr>
        <w:tabs>
          <w:tab w:val="left" w:pos="10632"/>
          <w:tab w:val="left" w:pos="10773"/>
          <w:tab w:val="left" w:pos="10915"/>
          <w:tab w:val="left" w:pos="11199"/>
        </w:tabs>
        <w:spacing w:line="360" w:lineRule="auto"/>
        <w:ind w:right="46"/>
        <w:jc w:val="both"/>
        <w:rPr>
          <w:b/>
          <w:sz w:val="24"/>
          <w:szCs w:val="24"/>
        </w:rPr>
      </w:pPr>
      <w:r>
        <w:rPr>
          <w:b/>
          <w:sz w:val="24"/>
          <w:szCs w:val="24"/>
        </w:rPr>
        <w:t>CNPJ: _________________________</w:t>
      </w:r>
    </w:p>
    <w:p>
      <w:pPr>
        <w:tabs>
          <w:tab w:val="left" w:pos="712"/>
        </w:tabs>
        <w:ind w:right="-1"/>
        <w:jc w:val="both"/>
        <w:rPr>
          <w:b/>
          <w:sz w:val="24"/>
          <w:szCs w:val="24"/>
        </w:rPr>
      </w:pPr>
      <w:r>
        <w:rPr>
          <w:b/>
          <w:bCs/>
          <w:iCs/>
          <w:sz w:val="24"/>
          <w:szCs w:val="24"/>
        </w:rPr>
        <w:t xml:space="preserve">OBJETO: </w:t>
      </w:r>
      <w:r>
        <w:rPr>
          <w:rFonts w:eastAsia="Times New Roman"/>
          <w:b/>
          <w:sz w:val="24"/>
          <w:szCs w:val="24"/>
          <w:lang w:eastAsia="pt-BR"/>
        </w:rPr>
        <w:t>CONTRATAÇÃO DE EMPRESA ESPECIALIZADA EM PRESTAÇÃO DE SERVIÇO DE ASSESSORIA, FISCALIZAÇÃO, CONSULTORIA, SUPERVISÃO, ASSISTÊNCIA EM PROJETO CIVIL E INFRAESTRUTURA DO MUNICÍPIO DE NAVIRAÍ-MS, CONFORME TERMO DE REFERÊNCIA, SOLICITAÇÃO GERÊNCIA DE OBRAS. PEDIDO DE SERVIÇO Nº 086/2021.</w:t>
      </w:r>
    </w:p>
    <w:p>
      <w:pPr>
        <w:spacing w:after="0"/>
        <w:jc w:val="both"/>
        <w:rPr>
          <w:iCs/>
          <w:sz w:val="24"/>
          <w:szCs w:val="24"/>
        </w:rPr>
      </w:pPr>
      <w:r>
        <w:rPr>
          <w:b/>
          <w:iCs/>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sz w:val="24"/>
          <w:szCs w:val="24"/>
        </w:rPr>
      </w:pPr>
      <w:r>
        <w:rPr>
          <w:b/>
          <w:sz w:val="24"/>
          <w:szCs w:val="24"/>
        </w:rPr>
        <w:t>Art.1º</w:t>
      </w:r>
      <w:r>
        <w:rPr>
          <w:sz w:val="24"/>
          <w:szCs w:val="24"/>
        </w:rPr>
        <w:t xml:space="preserve"> Designar os servidores abaixo com o encargo de Fiscal do Contrato nº. _____/2021</w:t>
      </w:r>
    </w:p>
    <w:tbl>
      <w:tblPr>
        <w:tblStyle w:val="1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0"/>
        <w:gridCol w:w="1775"/>
        <w:gridCol w:w="1276"/>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3051"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TITULAR</w:t>
            </w:r>
          </w:p>
        </w:tc>
        <w:tc>
          <w:tcPr>
            <w:tcW w:w="2835"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0" w:type="auto"/>
            <w:vMerge w:val="continue"/>
            <w:vAlign w:val="center"/>
          </w:tcPr>
          <w:p>
            <w:pPr>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c>
          <w:tcPr>
            <w:tcW w:w="1559"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color w:val="000000"/>
                <w:sz w:val="24"/>
                <w:szCs w:val="24"/>
              </w:rPr>
            </w:pPr>
            <w:r>
              <w:rPr>
                <w:color w:val="000000"/>
                <w:sz w:val="24"/>
                <w:szCs w:val="24"/>
              </w:rPr>
              <w:t>Gerência de Obras</w:t>
            </w:r>
          </w:p>
        </w:tc>
        <w:tc>
          <w:tcPr>
            <w:tcW w:w="1775"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559"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r>
    </w:tbl>
    <w:p>
      <w:pPr>
        <w:tabs>
          <w:tab w:val="left" w:pos="1661"/>
          <w:tab w:val="left" w:pos="10915"/>
        </w:tabs>
        <w:spacing w:after="240"/>
        <w:ind w:right="46"/>
        <w:jc w:val="both"/>
        <w:rPr>
          <w:b/>
          <w:spacing w:val="2"/>
          <w:sz w:val="24"/>
          <w:szCs w:val="24"/>
        </w:rPr>
      </w:pPr>
    </w:p>
    <w:p>
      <w:pPr>
        <w:tabs>
          <w:tab w:val="left" w:pos="1661"/>
          <w:tab w:val="left" w:pos="10915"/>
        </w:tabs>
        <w:spacing w:after="240"/>
        <w:ind w:right="46"/>
        <w:jc w:val="both"/>
        <w:rPr>
          <w:sz w:val="24"/>
          <w:szCs w:val="24"/>
        </w:rPr>
      </w:pPr>
      <w:r>
        <w:rPr>
          <w:b/>
          <w:spacing w:val="2"/>
          <w:sz w:val="24"/>
          <w:szCs w:val="24"/>
        </w:rPr>
        <w:t xml:space="preserve">Art. </w:t>
      </w:r>
      <w:r>
        <w:rPr>
          <w:b/>
          <w:sz w:val="24"/>
          <w:szCs w:val="24"/>
        </w:rPr>
        <w:t>2º</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35"/>
        </w:numPr>
        <w:tabs>
          <w:tab w:val="left" w:pos="284"/>
          <w:tab w:val="left" w:pos="10915"/>
        </w:tabs>
        <w:overflowPunct w:val="0"/>
        <w:autoSpaceDE w:val="0"/>
        <w:autoSpaceDN w:val="0"/>
        <w:adjustRightInd w:val="0"/>
        <w:spacing w:after="240" w:line="240" w:lineRule="auto"/>
        <w:ind w:left="284" w:right="46"/>
        <w:jc w:val="both"/>
        <w:textAlignment w:val="baseline"/>
        <w:rPr>
          <w:sz w:val="24"/>
          <w:szCs w:val="24"/>
        </w:rPr>
      </w:pPr>
      <w:r>
        <w:rPr>
          <w:sz w:val="24"/>
          <w:szCs w:val="24"/>
        </w:rPr>
        <w:t>-</w:t>
      </w:r>
      <w:r>
        <w:rPr>
          <w:spacing w:val="2"/>
          <w:sz w:val="24"/>
          <w:szCs w:val="24"/>
        </w:rPr>
        <w:t xml:space="preserve">Acompanhar </w:t>
      </w:r>
      <w:r>
        <w:rPr>
          <w:sz w:val="24"/>
          <w:szCs w:val="24"/>
        </w:rPr>
        <w:t xml:space="preserve">e </w:t>
      </w:r>
      <w:r>
        <w:rPr>
          <w:spacing w:val="2"/>
          <w:sz w:val="24"/>
          <w:szCs w:val="24"/>
        </w:rPr>
        <w:t xml:space="preserve">fiscalizar </w:t>
      </w:r>
      <w:r>
        <w:rPr>
          <w:sz w:val="24"/>
          <w:szCs w:val="24"/>
        </w:rPr>
        <w:t xml:space="preserve">o fiel </w:t>
      </w:r>
      <w:r>
        <w:rPr>
          <w:spacing w:val="2"/>
          <w:sz w:val="24"/>
          <w:szCs w:val="24"/>
        </w:rPr>
        <w:t xml:space="preserve">cumprimento </w:t>
      </w:r>
      <w:r>
        <w:rPr>
          <w:sz w:val="24"/>
          <w:szCs w:val="24"/>
        </w:rPr>
        <w:t xml:space="preserve">do </w:t>
      </w:r>
      <w:r>
        <w:rPr>
          <w:spacing w:val="2"/>
          <w:sz w:val="24"/>
          <w:szCs w:val="24"/>
        </w:rPr>
        <w:t>contrato;</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pacing w:val="2"/>
          <w:sz w:val="24"/>
          <w:szCs w:val="24"/>
        </w:rPr>
      </w:pPr>
      <w:r>
        <w:rPr>
          <w:spacing w:val="3"/>
          <w:sz w:val="24"/>
          <w:szCs w:val="24"/>
        </w:rPr>
        <w:t xml:space="preserve">- Manifestar-se </w:t>
      </w:r>
      <w:r>
        <w:rPr>
          <w:spacing w:val="2"/>
          <w:sz w:val="24"/>
          <w:szCs w:val="24"/>
        </w:rPr>
        <w:t xml:space="preserve">por escrito, </w:t>
      </w:r>
      <w:r>
        <w:rPr>
          <w:sz w:val="24"/>
          <w:szCs w:val="24"/>
        </w:rPr>
        <w:t xml:space="preserve">em forma de </w:t>
      </w:r>
      <w:r>
        <w:rPr>
          <w:spacing w:val="2"/>
          <w:sz w:val="24"/>
          <w:szCs w:val="24"/>
        </w:rPr>
        <w:t xml:space="preserve">relatório </w:t>
      </w:r>
      <w:r>
        <w:rPr>
          <w:spacing w:val="4"/>
          <w:sz w:val="24"/>
          <w:szCs w:val="24"/>
        </w:rPr>
        <w:t xml:space="preserve">juntado </w:t>
      </w:r>
      <w:r>
        <w:rPr>
          <w:spacing w:val="2"/>
          <w:sz w:val="24"/>
          <w:szCs w:val="24"/>
        </w:rPr>
        <w:t>aos autos, acerca da</w:t>
      </w:r>
      <w:r>
        <w:rPr>
          <w:sz w:val="24"/>
          <w:szCs w:val="24"/>
        </w:rPr>
        <w:t xml:space="preserve"> exequibilidade</w:t>
      </w:r>
      <w:r>
        <w:rPr>
          <w:spacing w:val="3"/>
          <w:sz w:val="24"/>
          <w:szCs w:val="24"/>
        </w:rPr>
        <w:t xml:space="preserve"> do</w:t>
      </w:r>
      <w:r>
        <w:rPr>
          <w:sz w:val="24"/>
          <w:szCs w:val="24"/>
        </w:rPr>
        <w:t xml:space="preserve"> referido</w:t>
      </w:r>
      <w:r>
        <w:rPr>
          <w:spacing w:val="2"/>
          <w:sz w:val="24"/>
          <w:szCs w:val="24"/>
        </w:rPr>
        <w:t xml:space="preserve"> ajuste contratual tempestivamente, </w:t>
      </w:r>
      <w:r>
        <w:rPr>
          <w:sz w:val="24"/>
          <w:szCs w:val="24"/>
        </w:rPr>
        <w:t xml:space="preserve">das </w:t>
      </w:r>
      <w:r>
        <w:rPr>
          <w:spacing w:val="2"/>
          <w:sz w:val="24"/>
          <w:szCs w:val="24"/>
        </w:rPr>
        <w:t xml:space="preserve">irregularidades encontradas, das providências </w:t>
      </w:r>
      <w:r>
        <w:rPr>
          <w:sz w:val="24"/>
          <w:szCs w:val="24"/>
        </w:rPr>
        <w:t xml:space="preserve">que </w:t>
      </w:r>
      <w:r>
        <w:rPr>
          <w:spacing w:val="2"/>
          <w:sz w:val="24"/>
          <w:szCs w:val="24"/>
        </w:rPr>
        <w:t xml:space="preserve">determinaram </w:t>
      </w:r>
      <w:r>
        <w:rPr>
          <w:sz w:val="24"/>
          <w:szCs w:val="24"/>
        </w:rPr>
        <w:t xml:space="preserve">os </w:t>
      </w:r>
      <w:r>
        <w:rPr>
          <w:spacing w:val="2"/>
          <w:sz w:val="24"/>
          <w:szCs w:val="24"/>
        </w:rPr>
        <w:t xml:space="preserve">incidentes verificados </w:t>
      </w:r>
      <w:r>
        <w:rPr>
          <w:sz w:val="24"/>
          <w:szCs w:val="24"/>
        </w:rPr>
        <w:t xml:space="preserve">e do </w:t>
      </w:r>
      <w:r>
        <w:rPr>
          <w:spacing w:val="2"/>
          <w:sz w:val="24"/>
          <w:szCs w:val="24"/>
        </w:rPr>
        <w:t xml:space="preserve">resultado dessas medidas, bem como, informar por escrito </w:t>
      </w:r>
      <w:r>
        <w:rPr>
          <w:sz w:val="24"/>
          <w:szCs w:val="24"/>
        </w:rPr>
        <w:t xml:space="preserve">à </w:t>
      </w:r>
      <w:r>
        <w:rPr>
          <w:spacing w:val="2"/>
          <w:sz w:val="24"/>
          <w:szCs w:val="24"/>
        </w:rPr>
        <w:t xml:space="preserve">autoridade superior sobre ocorrências para ciência </w:t>
      </w:r>
      <w:r>
        <w:rPr>
          <w:sz w:val="24"/>
          <w:szCs w:val="24"/>
        </w:rPr>
        <w:t xml:space="preserve">e </w:t>
      </w:r>
      <w:r>
        <w:rPr>
          <w:spacing w:val="2"/>
          <w:sz w:val="24"/>
          <w:szCs w:val="24"/>
        </w:rPr>
        <w:t xml:space="preserve">apreciação </w:t>
      </w:r>
      <w:r>
        <w:rPr>
          <w:sz w:val="24"/>
          <w:szCs w:val="24"/>
        </w:rPr>
        <w:t xml:space="preserve">para </w:t>
      </w:r>
      <w:r>
        <w:rPr>
          <w:spacing w:val="2"/>
          <w:sz w:val="24"/>
          <w:szCs w:val="24"/>
        </w:rPr>
        <w:t>providências;</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3"/>
          <w:sz w:val="24"/>
          <w:szCs w:val="24"/>
        </w:rPr>
        <w:t xml:space="preserve">Responsabilizar-se </w:t>
      </w:r>
      <w:r>
        <w:rPr>
          <w:spacing w:val="2"/>
          <w:sz w:val="24"/>
          <w:szCs w:val="24"/>
        </w:rPr>
        <w:t xml:space="preserve">pelas justificativas que </w:t>
      </w:r>
      <w:r>
        <w:rPr>
          <w:sz w:val="24"/>
          <w:szCs w:val="24"/>
        </w:rPr>
        <w:t xml:space="preserve">se </w:t>
      </w:r>
      <w:r>
        <w:rPr>
          <w:spacing w:val="2"/>
          <w:sz w:val="24"/>
          <w:szCs w:val="24"/>
        </w:rPr>
        <w:t xml:space="preserve">fizerem necessárias </w:t>
      </w:r>
      <w:r>
        <w:rPr>
          <w:sz w:val="24"/>
          <w:szCs w:val="24"/>
        </w:rPr>
        <w:t xml:space="preserve">em </w:t>
      </w:r>
      <w:r>
        <w:rPr>
          <w:spacing w:val="2"/>
          <w:sz w:val="24"/>
          <w:szCs w:val="24"/>
        </w:rPr>
        <w:t xml:space="preserve">resposta </w:t>
      </w:r>
      <w:r>
        <w:rPr>
          <w:sz w:val="24"/>
          <w:szCs w:val="24"/>
        </w:rPr>
        <w:t xml:space="preserve">a </w:t>
      </w:r>
      <w:r>
        <w:rPr>
          <w:spacing w:val="2"/>
          <w:sz w:val="24"/>
          <w:szCs w:val="24"/>
        </w:rPr>
        <w:t xml:space="preserve">eventuais diligências dos órgãos </w:t>
      </w:r>
      <w:r>
        <w:rPr>
          <w:sz w:val="24"/>
          <w:szCs w:val="24"/>
        </w:rPr>
        <w:t xml:space="preserve">de </w:t>
      </w:r>
      <w:r>
        <w:rPr>
          <w:spacing w:val="2"/>
          <w:sz w:val="24"/>
          <w:szCs w:val="24"/>
        </w:rPr>
        <w:t xml:space="preserve">Controle Interno </w:t>
      </w:r>
      <w:r>
        <w:rPr>
          <w:sz w:val="24"/>
          <w:szCs w:val="24"/>
        </w:rPr>
        <w:t xml:space="preserve">e </w:t>
      </w:r>
      <w:r>
        <w:rPr>
          <w:spacing w:val="2"/>
          <w:sz w:val="24"/>
          <w:szCs w:val="24"/>
        </w:rPr>
        <w:t>Externo;</w:t>
      </w:r>
    </w:p>
    <w:p>
      <w:pPr>
        <w:widowControl w:val="0"/>
        <w:numPr>
          <w:ilvl w:val="0"/>
          <w:numId w:val="3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Propor mediante apreciação </w:t>
      </w:r>
      <w:r>
        <w:rPr>
          <w:sz w:val="24"/>
          <w:szCs w:val="24"/>
        </w:rPr>
        <w:t xml:space="preserve">do </w:t>
      </w:r>
      <w:r>
        <w:rPr>
          <w:spacing w:val="2"/>
          <w:sz w:val="24"/>
          <w:szCs w:val="24"/>
        </w:rPr>
        <w:t xml:space="preserve">Gestor a aplicação </w:t>
      </w:r>
      <w:r>
        <w:rPr>
          <w:sz w:val="24"/>
          <w:szCs w:val="24"/>
        </w:rPr>
        <w:t xml:space="preserve">de </w:t>
      </w:r>
      <w:r>
        <w:rPr>
          <w:spacing w:val="2"/>
          <w:sz w:val="24"/>
          <w:szCs w:val="24"/>
        </w:rPr>
        <w:t xml:space="preserve">sanções administrativa </w:t>
      </w:r>
      <w:r>
        <w:rPr>
          <w:sz w:val="24"/>
          <w:szCs w:val="24"/>
        </w:rPr>
        <w:t xml:space="preserve">à </w:t>
      </w:r>
      <w:r>
        <w:rPr>
          <w:spacing w:val="2"/>
          <w:sz w:val="24"/>
          <w:szCs w:val="24"/>
        </w:rPr>
        <w:t xml:space="preserve">contratada </w:t>
      </w:r>
      <w:r>
        <w:rPr>
          <w:sz w:val="24"/>
          <w:szCs w:val="24"/>
        </w:rPr>
        <w:t xml:space="preserve">em </w:t>
      </w:r>
      <w:r>
        <w:rPr>
          <w:spacing w:val="2"/>
          <w:sz w:val="24"/>
          <w:szCs w:val="24"/>
        </w:rPr>
        <w:t xml:space="preserve">virtude </w:t>
      </w:r>
      <w:r>
        <w:rPr>
          <w:sz w:val="24"/>
          <w:szCs w:val="24"/>
        </w:rPr>
        <w:t xml:space="preserve">de </w:t>
      </w:r>
      <w:r>
        <w:rPr>
          <w:spacing w:val="2"/>
          <w:sz w:val="24"/>
          <w:szCs w:val="24"/>
        </w:rPr>
        <w:t xml:space="preserve">inobservância </w:t>
      </w:r>
      <w:r>
        <w:rPr>
          <w:sz w:val="24"/>
          <w:szCs w:val="24"/>
        </w:rPr>
        <w:t xml:space="preserve">ou </w:t>
      </w:r>
      <w:r>
        <w:rPr>
          <w:spacing w:val="2"/>
          <w:sz w:val="24"/>
          <w:szCs w:val="24"/>
        </w:rPr>
        <w:t xml:space="preserve">desobediência </w:t>
      </w:r>
      <w:r>
        <w:rPr>
          <w:sz w:val="24"/>
          <w:szCs w:val="24"/>
        </w:rPr>
        <w:t xml:space="preserve">das </w:t>
      </w:r>
      <w:r>
        <w:rPr>
          <w:spacing w:val="2"/>
          <w:sz w:val="24"/>
          <w:szCs w:val="24"/>
        </w:rPr>
        <w:t xml:space="preserve">cláusulas contratuais </w:t>
      </w:r>
      <w:r>
        <w:rPr>
          <w:sz w:val="24"/>
          <w:szCs w:val="24"/>
        </w:rPr>
        <w:t xml:space="preserve">e </w:t>
      </w:r>
      <w:r>
        <w:rPr>
          <w:spacing w:val="2"/>
          <w:sz w:val="24"/>
          <w:szCs w:val="24"/>
        </w:rPr>
        <w:t xml:space="preserve">instruções </w:t>
      </w:r>
      <w:r>
        <w:rPr>
          <w:sz w:val="24"/>
          <w:szCs w:val="24"/>
        </w:rPr>
        <w:t xml:space="preserve">e </w:t>
      </w:r>
      <w:r>
        <w:rPr>
          <w:spacing w:val="2"/>
          <w:sz w:val="24"/>
          <w:szCs w:val="24"/>
        </w:rPr>
        <w:t xml:space="preserve">ordens </w:t>
      </w:r>
      <w:r>
        <w:rPr>
          <w:sz w:val="24"/>
          <w:szCs w:val="24"/>
        </w:rPr>
        <w:t xml:space="preserve">da </w:t>
      </w:r>
      <w:r>
        <w:rPr>
          <w:spacing w:val="2"/>
          <w:sz w:val="24"/>
          <w:szCs w:val="24"/>
        </w:rPr>
        <w:t>fiscalização;</w:t>
      </w:r>
    </w:p>
    <w:p>
      <w:pPr>
        <w:widowControl w:val="0"/>
        <w:numPr>
          <w:ilvl w:val="0"/>
          <w:numId w:val="35"/>
        </w:numPr>
        <w:tabs>
          <w:tab w:val="left" w:pos="426"/>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Atestar </w:t>
      </w:r>
      <w:r>
        <w:rPr>
          <w:sz w:val="24"/>
          <w:szCs w:val="24"/>
        </w:rPr>
        <w:t xml:space="preserve">a </w:t>
      </w:r>
      <w:r>
        <w:rPr>
          <w:spacing w:val="2"/>
          <w:sz w:val="24"/>
          <w:szCs w:val="24"/>
        </w:rPr>
        <w:t>realização dos serviços efetivamente prestados, mediante relatório consolidado, para posterior pagamento;</w:t>
      </w:r>
    </w:p>
    <w:p>
      <w:pPr>
        <w:widowControl w:val="0"/>
        <w:numPr>
          <w:ilvl w:val="0"/>
          <w:numId w:val="35"/>
        </w:numPr>
        <w:tabs>
          <w:tab w:val="left" w:pos="426"/>
          <w:tab w:val="left" w:pos="10915"/>
        </w:tabs>
        <w:overflowPunct w:val="0"/>
        <w:autoSpaceDE w:val="0"/>
        <w:autoSpaceDN w:val="0"/>
        <w:adjustRightInd w:val="0"/>
        <w:spacing w:after="0" w:line="240" w:lineRule="auto"/>
        <w:ind w:right="46"/>
        <w:jc w:val="both"/>
        <w:textAlignment w:val="baseline"/>
        <w:rPr>
          <w:sz w:val="24"/>
          <w:szCs w:val="24"/>
        </w:rPr>
      </w:pPr>
      <w:r>
        <w:rPr>
          <w:sz w:val="24"/>
          <w:szCs w:val="24"/>
        </w:rPr>
        <w:t xml:space="preserve">- </w:t>
      </w:r>
      <w:r>
        <w:rPr>
          <w:spacing w:val="2"/>
          <w:sz w:val="24"/>
          <w:szCs w:val="24"/>
        </w:rPr>
        <w:t xml:space="preserve">Observar </w:t>
      </w:r>
      <w:r>
        <w:rPr>
          <w:sz w:val="24"/>
          <w:szCs w:val="24"/>
        </w:rPr>
        <w:t xml:space="preserve">a </w:t>
      </w:r>
      <w:r>
        <w:rPr>
          <w:spacing w:val="2"/>
          <w:sz w:val="24"/>
          <w:szCs w:val="24"/>
        </w:rPr>
        <w:t xml:space="preserve">execução </w:t>
      </w:r>
      <w:r>
        <w:rPr>
          <w:sz w:val="24"/>
          <w:szCs w:val="24"/>
        </w:rPr>
        <w:t xml:space="preserve">do </w:t>
      </w:r>
      <w:r>
        <w:rPr>
          <w:spacing w:val="2"/>
          <w:sz w:val="24"/>
          <w:szCs w:val="24"/>
        </w:rPr>
        <w:t xml:space="preserve">contrato, </w:t>
      </w:r>
      <w:r>
        <w:rPr>
          <w:spacing w:val="3"/>
          <w:sz w:val="24"/>
          <w:szCs w:val="24"/>
        </w:rPr>
        <w:t xml:space="preserve">dentro </w:t>
      </w:r>
      <w:r>
        <w:rPr>
          <w:spacing w:val="2"/>
          <w:sz w:val="24"/>
          <w:szCs w:val="24"/>
        </w:rPr>
        <w:t xml:space="preserve">dos limites dos créditos orçamentários para ele determinado; </w:t>
      </w:r>
      <w:r>
        <w:rPr>
          <w:sz w:val="24"/>
          <w:szCs w:val="24"/>
        </w:rPr>
        <w:t xml:space="preserve">VII - </w:t>
      </w:r>
      <w:r>
        <w:rPr>
          <w:spacing w:val="2"/>
          <w:sz w:val="24"/>
          <w:szCs w:val="24"/>
        </w:rPr>
        <w:t xml:space="preserve">Manifestar quanto </w:t>
      </w:r>
      <w:r>
        <w:rPr>
          <w:sz w:val="24"/>
          <w:szCs w:val="24"/>
        </w:rPr>
        <w:t xml:space="preserve">à </w:t>
      </w:r>
      <w:r>
        <w:rPr>
          <w:spacing w:val="2"/>
          <w:sz w:val="24"/>
          <w:szCs w:val="24"/>
        </w:rPr>
        <w:t xml:space="preserve">oportunidade </w:t>
      </w:r>
      <w:r>
        <w:rPr>
          <w:sz w:val="24"/>
          <w:szCs w:val="24"/>
        </w:rPr>
        <w:t xml:space="preserve">e </w:t>
      </w:r>
      <w:r>
        <w:rPr>
          <w:spacing w:val="2"/>
          <w:sz w:val="24"/>
          <w:szCs w:val="24"/>
        </w:rPr>
        <w:t xml:space="preserve">conveniência </w:t>
      </w:r>
      <w:r>
        <w:rPr>
          <w:sz w:val="24"/>
          <w:szCs w:val="24"/>
        </w:rPr>
        <w:t xml:space="preserve">de </w:t>
      </w:r>
      <w:r>
        <w:rPr>
          <w:spacing w:val="2"/>
          <w:sz w:val="24"/>
          <w:szCs w:val="24"/>
        </w:rPr>
        <w:t xml:space="preserve">prorrogação </w:t>
      </w:r>
      <w:r>
        <w:rPr>
          <w:sz w:val="24"/>
          <w:szCs w:val="24"/>
        </w:rPr>
        <w:t xml:space="preserve">de </w:t>
      </w:r>
      <w:r>
        <w:rPr>
          <w:spacing w:val="2"/>
          <w:sz w:val="24"/>
          <w:szCs w:val="24"/>
        </w:rPr>
        <w:t xml:space="preserve">vigência </w:t>
      </w:r>
      <w:r>
        <w:rPr>
          <w:sz w:val="24"/>
          <w:szCs w:val="24"/>
        </w:rPr>
        <w:t xml:space="preserve">ou </w:t>
      </w:r>
      <w:r>
        <w:rPr>
          <w:spacing w:val="2"/>
          <w:sz w:val="24"/>
          <w:szCs w:val="24"/>
        </w:rPr>
        <w:t xml:space="preserve">aditamento </w:t>
      </w:r>
      <w:r>
        <w:rPr>
          <w:sz w:val="24"/>
          <w:szCs w:val="24"/>
        </w:rPr>
        <w:t xml:space="preserve">de </w:t>
      </w:r>
      <w:r>
        <w:rPr>
          <w:spacing w:val="2"/>
          <w:sz w:val="24"/>
          <w:szCs w:val="24"/>
        </w:rPr>
        <w:t xml:space="preserve">objeto, com antecedência </w:t>
      </w:r>
      <w:r>
        <w:rPr>
          <w:sz w:val="24"/>
          <w:szCs w:val="24"/>
        </w:rPr>
        <w:t xml:space="preserve">de 30 </w:t>
      </w:r>
      <w:r>
        <w:rPr>
          <w:spacing w:val="2"/>
          <w:sz w:val="24"/>
          <w:szCs w:val="24"/>
        </w:rPr>
        <w:t xml:space="preserve">(trinta) dias </w:t>
      </w:r>
      <w:r>
        <w:rPr>
          <w:sz w:val="24"/>
          <w:szCs w:val="24"/>
        </w:rPr>
        <w:t xml:space="preserve">do </w:t>
      </w:r>
      <w:r>
        <w:rPr>
          <w:spacing w:val="2"/>
          <w:sz w:val="24"/>
          <w:szCs w:val="24"/>
        </w:rPr>
        <w:t xml:space="preserve">final </w:t>
      </w:r>
      <w:r>
        <w:rPr>
          <w:sz w:val="24"/>
          <w:szCs w:val="24"/>
        </w:rPr>
        <w:t xml:space="preserve">da </w:t>
      </w:r>
      <w:r>
        <w:rPr>
          <w:spacing w:val="2"/>
          <w:sz w:val="24"/>
          <w:szCs w:val="24"/>
        </w:rPr>
        <w:t>vigência;</w:t>
      </w:r>
    </w:p>
    <w:p>
      <w:pPr>
        <w:tabs>
          <w:tab w:val="left" w:pos="11057"/>
        </w:tabs>
        <w:ind w:right="46"/>
        <w:jc w:val="both"/>
        <w:rPr>
          <w:sz w:val="24"/>
          <w:szCs w:val="24"/>
        </w:rPr>
      </w:pPr>
    </w:p>
    <w:p>
      <w:pPr>
        <w:tabs>
          <w:tab w:val="left" w:pos="11057"/>
        </w:tabs>
        <w:snapToGrid w:val="0"/>
        <w:ind w:right="46"/>
        <w:jc w:val="both"/>
        <w:rPr>
          <w:color w:val="000000"/>
          <w:sz w:val="24"/>
          <w:szCs w:val="24"/>
        </w:rPr>
      </w:pPr>
      <w:r>
        <w:rPr>
          <w:b/>
          <w:color w:val="000000"/>
          <w:sz w:val="24"/>
          <w:szCs w:val="24"/>
        </w:rPr>
        <w:t>Art. 3º</w:t>
      </w:r>
      <w:r>
        <w:rPr>
          <w:color w:val="000000"/>
          <w:sz w:val="24"/>
          <w:szCs w:val="24"/>
        </w:rPr>
        <w:t xml:space="preserve"> Dê ciência aos interessados.</w:t>
      </w:r>
    </w:p>
    <w:p>
      <w:pPr>
        <w:tabs>
          <w:tab w:val="left" w:pos="11057"/>
        </w:tabs>
        <w:snapToGrid w:val="0"/>
        <w:ind w:right="46"/>
        <w:jc w:val="both"/>
        <w:rPr>
          <w:color w:val="000000"/>
          <w:sz w:val="24"/>
          <w:szCs w:val="24"/>
        </w:rPr>
      </w:pPr>
    </w:p>
    <w:p>
      <w:pPr>
        <w:overflowPunct w:val="0"/>
        <w:autoSpaceDE w:val="0"/>
        <w:autoSpaceDN w:val="0"/>
        <w:adjustRightInd w:val="0"/>
        <w:spacing w:after="0" w:line="240" w:lineRule="auto"/>
        <w:textAlignment w:val="baseline"/>
        <w:rPr>
          <w:color w:val="000000"/>
          <w:sz w:val="24"/>
          <w:szCs w:val="24"/>
        </w:rPr>
      </w:pPr>
      <w:r>
        <w:rPr>
          <w:b/>
          <w:color w:val="000000"/>
          <w:sz w:val="24"/>
          <w:szCs w:val="24"/>
        </w:rPr>
        <w:t>Art. 4º</w:t>
      </w:r>
      <w:r>
        <w:rPr>
          <w:color w:val="000000"/>
          <w:sz w:val="24"/>
          <w:szCs w:val="24"/>
        </w:rPr>
        <w:t xml:space="preserve"> Autue-se no processo.</w:t>
      </w: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both"/>
              <w:rPr>
                <w:b/>
                <w:iCs/>
                <w:sz w:val="24"/>
                <w:szCs w:val="24"/>
              </w:rPr>
            </w:pPr>
            <w:r>
              <w:rPr>
                <w:b/>
                <w:iCs/>
                <w:sz w:val="24"/>
                <w:szCs w:val="24"/>
              </w:rPr>
              <w:t>JORGE LUÍS DE LÚCIA</w:t>
            </w:r>
          </w:p>
          <w:p>
            <w:pPr>
              <w:widowControl w:val="0"/>
              <w:tabs>
                <w:tab w:val="left" w:pos="5562"/>
              </w:tabs>
              <w:spacing w:after="0"/>
              <w:ind w:right="33"/>
              <w:jc w:val="both"/>
              <w:rPr>
                <w:b/>
                <w:iCs/>
                <w:sz w:val="24"/>
                <w:szCs w:val="24"/>
              </w:rPr>
            </w:pPr>
            <w:r>
              <w:rPr>
                <w:b/>
                <w:iCs/>
                <w:sz w:val="24"/>
                <w:szCs w:val="24"/>
              </w:rPr>
              <w:t>Ger. de Obras e Ordenadora de Despesas</w:t>
            </w:r>
          </w:p>
          <w:p>
            <w:pPr>
              <w:widowControl w:val="0"/>
              <w:tabs>
                <w:tab w:val="left" w:pos="5562"/>
              </w:tabs>
              <w:spacing w:after="0"/>
              <w:ind w:right="33"/>
              <w:jc w:val="both"/>
              <w:rPr>
                <w:b/>
                <w:iCs/>
                <w:sz w:val="24"/>
                <w:szCs w:val="24"/>
              </w:rPr>
            </w:pPr>
            <w:r>
              <w:rPr>
                <w:b/>
                <w:iCs/>
                <w:sz w:val="24"/>
                <w:szCs w:val="24"/>
              </w:rPr>
              <w:t>Conforme Decreto nº 011/2021</w:t>
            </w:r>
          </w:p>
          <w:p>
            <w:pPr>
              <w:widowControl w:val="0"/>
              <w:tabs>
                <w:tab w:val="left" w:pos="5562"/>
              </w:tabs>
              <w:spacing w:after="0"/>
              <w:ind w:right="33"/>
              <w:jc w:val="both"/>
              <w:rPr>
                <w:b/>
                <w:iCs/>
                <w:sz w:val="24"/>
                <w:szCs w:val="24"/>
              </w:rPr>
            </w:pPr>
          </w:p>
        </w:tc>
        <w:tc>
          <w:tcPr>
            <w:tcW w:w="3686" w:type="dxa"/>
            <w:shd w:val="clear" w:color="auto" w:fill="auto"/>
          </w:tcPr>
          <w:p>
            <w:pPr>
              <w:widowControl w:val="0"/>
              <w:spacing w:after="0"/>
              <w:jc w:val="both"/>
              <w:rPr>
                <w:b/>
                <w:iCs/>
                <w:sz w:val="24"/>
                <w:szCs w:val="24"/>
              </w:rPr>
            </w:pPr>
            <w:r>
              <w:rPr>
                <w:b/>
                <w:iCs/>
                <w:sz w:val="24"/>
                <w:szCs w:val="24"/>
              </w:rPr>
              <w:t>...............................................</w:t>
            </w:r>
          </w:p>
          <w:p>
            <w:pPr>
              <w:widowControl w:val="0"/>
              <w:spacing w:after="0"/>
              <w:ind w:left="601"/>
              <w:jc w:val="both"/>
              <w:rPr>
                <w:b/>
                <w:iCs/>
                <w:sz w:val="24"/>
                <w:szCs w:val="24"/>
              </w:rPr>
            </w:pPr>
            <w:r>
              <w:rPr>
                <w:b/>
                <w:iCs/>
                <w:sz w:val="24"/>
                <w:szCs w:val="24"/>
              </w:rPr>
              <w:t>Nome:</w:t>
            </w:r>
          </w:p>
          <w:p>
            <w:pPr>
              <w:widowControl w:val="0"/>
              <w:ind w:left="601"/>
              <w:jc w:val="both"/>
              <w:rPr>
                <w:b/>
                <w:iCs/>
                <w:sz w:val="24"/>
                <w:szCs w:val="24"/>
              </w:rPr>
            </w:pPr>
            <w:r>
              <w:rPr>
                <w:b/>
                <w:iCs/>
                <w:sz w:val="24"/>
                <w:szCs w:val="24"/>
              </w:rPr>
              <w:t>CPF:</w:t>
            </w:r>
          </w:p>
        </w:tc>
      </w:tr>
    </w:tbl>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rPr>
          <w:rFonts w:eastAsia="Times New Roman"/>
          <w:b/>
          <w:iCs/>
          <w:sz w:val="24"/>
          <w:szCs w:val="24"/>
          <w:lang w:eastAsia="pt-BR"/>
        </w:rPr>
        <w:sectPr>
          <w:headerReference r:id="rId5" w:type="default"/>
          <w:footerReference r:id="rId6" w:type="default"/>
          <w:footerReference r:id="rId7" w:type="even"/>
          <w:pgSz w:w="12242" w:h="15842"/>
          <w:pgMar w:top="1409" w:right="1185" w:bottom="709" w:left="1400" w:header="720" w:footer="720" w:gutter="0"/>
          <w:pgNumType w:start="1"/>
          <w:cols w:space="720" w:num="1"/>
        </w:sectPr>
      </w:pPr>
      <w:r>
        <w:rPr>
          <w:rFonts w:eastAsia="Times New Roman"/>
          <w:b/>
          <w:bCs/>
          <w:i/>
          <w:iCs/>
          <w:sz w:val="24"/>
          <w:szCs w:val="24"/>
          <w:lang w:eastAsia="pt-BR"/>
        </w:rPr>
        <w:br w:type="page"/>
      </w:r>
    </w:p>
    <w:p>
      <w:pPr>
        <w:keepNext/>
        <w:keepLines/>
        <w:widowControl w:val="0"/>
        <w:spacing w:before="20" w:after="0"/>
        <w:jc w:val="center"/>
        <w:rPr>
          <w:b/>
          <w:iCs/>
          <w:sz w:val="24"/>
          <w:szCs w:val="24"/>
        </w:rPr>
      </w:pPr>
      <w:r>
        <w:rPr>
          <w:b/>
          <w:iCs/>
          <w:sz w:val="24"/>
          <w:szCs w:val="24"/>
        </w:rPr>
        <w:t>ANEXO III</w:t>
      </w:r>
    </w:p>
    <w:p>
      <w:pPr>
        <w:keepNext/>
        <w:keepLines/>
        <w:widowControl w:val="0"/>
        <w:spacing w:before="20" w:after="0"/>
        <w:jc w:val="center"/>
        <w:rPr>
          <w:b/>
          <w:iCs/>
          <w:sz w:val="24"/>
          <w:szCs w:val="24"/>
        </w:rPr>
      </w:pPr>
      <w:r>
        <w:rPr>
          <w:b/>
          <w:iCs/>
          <w:sz w:val="24"/>
          <w:szCs w:val="24"/>
        </w:rPr>
        <w:t>PROPOSTA DE PREÇO</w:t>
      </w:r>
    </w:p>
    <w:p>
      <w:pPr>
        <w:spacing w:after="0"/>
        <w:ind w:right="-34"/>
        <w:jc w:val="center"/>
        <w:outlineLvl w:val="0"/>
        <w:rPr>
          <w:b/>
          <w:sz w:val="24"/>
          <w:szCs w:val="24"/>
        </w:rPr>
      </w:pPr>
      <w:r>
        <w:rPr>
          <w:b/>
          <w:sz w:val="24"/>
          <w:szCs w:val="24"/>
        </w:rPr>
        <w:t>PREFEITURA MUNICIPAL DE NAVIRAÍ - MS</w:t>
      </w:r>
    </w:p>
    <w:p>
      <w:pPr>
        <w:spacing w:after="0"/>
        <w:jc w:val="center"/>
        <w:outlineLvl w:val="0"/>
        <w:rPr>
          <w:b/>
          <w:sz w:val="24"/>
          <w:szCs w:val="24"/>
        </w:rPr>
      </w:pPr>
      <w:r>
        <w:rPr>
          <w:b/>
          <w:sz w:val="24"/>
          <w:szCs w:val="24"/>
        </w:rPr>
        <w:t>ESTADO DE MATO GROSSO DO SUL</w:t>
      </w:r>
    </w:p>
    <w:tbl>
      <w:tblPr>
        <w:tblStyle w:val="12"/>
        <w:tblW w:w="14334" w:type="dxa"/>
        <w:tblInd w:w="-35" w:type="dxa"/>
        <w:tblLayout w:type="fixed"/>
        <w:tblCellMar>
          <w:top w:w="0" w:type="dxa"/>
          <w:left w:w="107" w:type="dxa"/>
          <w:bottom w:w="0" w:type="dxa"/>
          <w:right w:w="107" w:type="dxa"/>
        </w:tblCellMar>
      </w:tblPr>
      <w:tblGrid>
        <w:gridCol w:w="34"/>
        <w:gridCol w:w="817"/>
        <w:gridCol w:w="1134"/>
        <w:gridCol w:w="709"/>
        <w:gridCol w:w="2616"/>
        <w:gridCol w:w="1326"/>
        <w:gridCol w:w="2670"/>
        <w:gridCol w:w="895"/>
        <w:gridCol w:w="1707"/>
        <w:gridCol w:w="1290"/>
        <w:gridCol w:w="1119"/>
        <w:gridCol w:w="17"/>
      </w:tblGrid>
      <w:tr>
        <w:tblPrEx>
          <w:tblCellMar>
            <w:top w:w="0" w:type="dxa"/>
            <w:left w:w="107" w:type="dxa"/>
            <w:bottom w:w="0" w:type="dxa"/>
            <w:right w:w="107" w:type="dxa"/>
          </w:tblCellMar>
        </w:tblPrEx>
        <w:trPr>
          <w:gridBefore w:val="1"/>
          <w:wBefore w:w="34" w:type="dxa"/>
          <w:trHeight w:val="188" w:hRule="atLeast"/>
        </w:trPr>
        <w:tc>
          <w:tcPr>
            <w:tcW w:w="5276" w:type="dxa"/>
            <w:gridSpan w:val="4"/>
            <w:tcBorders>
              <w:top w:val="single" w:color="auto" w:sz="6" w:space="0"/>
              <w:left w:val="single" w:color="auto" w:sz="6" w:space="0"/>
              <w:right w:val="single" w:color="auto" w:sz="6" w:space="0"/>
            </w:tcBorders>
          </w:tcPr>
          <w:p>
            <w:pPr>
              <w:keepNext/>
              <w:spacing w:after="0"/>
              <w:ind w:left="142" w:right="-765"/>
              <w:jc w:val="both"/>
              <w:outlineLvl w:val="3"/>
              <w:rPr>
                <w:b/>
                <w:sz w:val="24"/>
                <w:szCs w:val="24"/>
              </w:rPr>
            </w:pPr>
            <w:r>
              <w:rPr>
                <w:b/>
                <w:sz w:val="24"/>
                <w:szCs w:val="24"/>
              </w:rPr>
              <w:t>PROPOSTA DE PREÇO</w:t>
            </w:r>
          </w:p>
        </w:tc>
        <w:tc>
          <w:tcPr>
            <w:tcW w:w="3996" w:type="dxa"/>
            <w:gridSpan w:val="2"/>
            <w:tcBorders>
              <w:top w:val="single" w:color="auto" w:sz="6" w:space="0"/>
              <w:bottom w:val="single" w:color="auto" w:sz="6" w:space="0"/>
              <w:right w:val="single" w:color="auto" w:sz="6" w:space="0"/>
            </w:tcBorders>
          </w:tcPr>
          <w:p>
            <w:pPr>
              <w:keepNext/>
              <w:ind w:left="259" w:right="-765"/>
              <w:jc w:val="both"/>
              <w:outlineLvl w:val="3"/>
              <w:rPr>
                <w:b/>
                <w:sz w:val="24"/>
                <w:szCs w:val="24"/>
              </w:rPr>
            </w:pPr>
            <w:r>
              <w:rPr>
                <w:b/>
                <w:sz w:val="24"/>
                <w:szCs w:val="24"/>
              </w:rPr>
              <w:t>TIPO DE LICITAÇÃO</w:t>
            </w:r>
          </w:p>
        </w:tc>
        <w:tc>
          <w:tcPr>
            <w:tcW w:w="3892" w:type="dxa"/>
            <w:gridSpan w:val="3"/>
            <w:tcBorders>
              <w:top w:val="single" w:color="auto" w:sz="6" w:space="0"/>
              <w:left w:val="single" w:color="auto" w:sz="6" w:space="0"/>
              <w:bottom w:val="single" w:color="auto" w:sz="6" w:space="0"/>
              <w:right w:val="single" w:color="auto" w:sz="6" w:space="0"/>
            </w:tcBorders>
          </w:tcPr>
          <w:p>
            <w:pPr>
              <w:keepNext/>
              <w:ind w:left="95" w:right="-765"/>
              <w:jc w:val="both"/>
              <w:outlineLvl w:val="3"/>
              <w:rPr>
                <w:b/>
                <w:sz w:val="24"/>
                <w:szCs w:val="24"/>
              </w:rPr>
            </w:pPr>
            <w:r>
              <w:rPr>
                <w:b/>
                <w:sz w:val="24"/>
                <w:szCs w:val="24"/>
              </w:rPr>
              <w:t>NÚMERO</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b/>
                <w:sz w:val="24"/>
                <w:szCs w:val="24"/>
              </w:rPr>
            </w:pPr>
            <w:r>
              <w:rPr>
                <w:b/>
                <w:sz w:val="24"/>
                <w:szCs w:val="24"/>
              </w:rPr>
              <w:t>FOLHA</w:t>
            </w:r>
          </w:p>
        </w:tc>
      </w:tr>
      <w:tr>
        <w:tblPrEx>
          <w:tblCellMar>
            <w:top w:w="0" w:type="dxa"/>
            <w:left w:w="107" w:type="dxa"/>
            <w:bottom w:w="0" w:type="dxa"/>
            <w:right w:w="107" w:type="dxa"/>
          </w:tblCellMar>
        </w:tblPrEx>
        <w:trPr>
          <w:gridBefore w:val="1"/>
          <w:wBefore w:w="34" w:type="dxa"/>
          <w:trHeight w:val="563" w:hRule="atLeast"/>
        </w:trPr>
        <w:tc>
          <w:tcPr>
            <w:tcW w:w="5276" w:type="dxa"/>
            <w:gridSpan w:val="4"/>
            <w:tcBorders>
              <w:left w:val="single" w:color="auto" w:sz="6" w:space="0"/>
              <w:bottom w:val="single" w:color="auto" w:sz="6" w:space="0"/>
              <w:right w:val="single" w:color="auto" w:sz="6" w:space="0"/>
            </w:tcBorders>
          </w:tcPr>
          <w:p>
            <w:pPr>
              <w:jc w:val="both"/>
              <w:rPr>
                <w:sz w:val="24"/>
                <w:szCs w:val="24"/>
              </w:rPr>
            </w:pPr>
          </w:p>
        </w:tc>
        <w:tc>
          <w:tcPr>
            <w:tcW w:w="3996" w:type="dxa"/>
            <w:gridSpan w:val="2"/>
            <w:tcBorders>
              <w:top w:val="single" w:color="auto" w:sz="6" w:space="0"/>
              <w:bottom w:val="single" w:color="auto" w:sz="6" w:space="0"/>
              <w:right w:val="single" w:color="auto" w:sz="6" w:space="0"/>
            </w:tcBorders>
          </w:tcPr>
          <w:p>
            <w:pPr>
              <w:spacing w:after="0"/>
              <w:jc w:val="both"/>
              <w:rPr>
                <w:b/>
                <w:color w:val="FF0000"/>
                <w:sz w:val="24"/>
                <w:szCs w:val="24"/>
              </w:rPr>
            </w:pPr>
            <w:r>
              <w:rPr>
                <w:b/>
                <w:color w:val="FF0000"/>
                <w:sz w:val="24"/>
                <w:szCs w:val="24"/>
              </w:rPr>
              <w:t>TOMADA DE PREÇO</w:t>
            </w:r>
          </w:p>
        </w:tc>
        <w:tc>
          <w:tcPr>
            <w:tcW w:w="3892" w:type="dxa"/>
            <w:gridSpan w:val="3"/>
            <w:tcBorders>
              <w:top w:val="single" w:color="auto" w:sz="6" w:space="0"/>
              <w:left w:val="single" w:color="auto" w:sz="6" w:space="0"/>
              <w:bottom w:val="single" w:color="auto" w:sz="6" w:space="0"/>
              <w:right w:val="single" w:color="auto" w:sz="6" w:space="0"/>
            </w:tcBorders>
          </w:tcPr>
          <w:p>
            <w:pPr>
              <w:spacing w:after="0"/>
              <w:jc w:val="both"/>
              <w:rPr>
                <w:b/>
                <w:color w:val="FF0000"/>
                <w:sz w:val="24"/>
                <w:szCs w:val="24"/>
              </w:rPr>
            </w:pPr>
            <w:r>
              <w:rPr>
                <w:b/>
                <w:color w:val="FF0000"/>
                <w:sz w:val="24"/>
                <w:szCs w:val="24"/>
              </w:rPr>
              <w:t>003/2021</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1/1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243" w:hRule="atLeast"/>
        </w:trPr>
        <w:tc>
          <w:tcPr>
            <w:tcW w:w="6602" w:type="dxa"/>
            <w:gridSpan w:val="5"/>
          </w:tcPr>
          <w:p>
            <w:pPr>
              <w:spacing w:after="0"/>
              <w:jc w:val="both"/>
              <w:rPr>
                <w:sz w:val="24"/>
                <w:szCs w:val="24"/>
              </w:rPr>
            </w:pPr>
            <w:r>
              <w:rPr>
                <w:sz w:val="24"/>
                <w:szCs w:val="24"/>
              </w:rPr>
              <w:t xml:space="preserve">RAZÃO SOCIAL: </w:t>
            </w:r>
          </w:p>
        </w:tc>
        <w:tc>
          <w:tcPr>
            <w:tcW w:w="3565" w:type="dxa"/>
            <w:gridSpan w:val="2"/>
          </w:tcPr>
          <w:p>
            <w:pPr>
              <w:spacing w:after="0"/>
              <w:jc w:val="both"/>
              <w:rPr>
                <w:sz w:val="24"/>
                <w:szCs w:val="24"/>
              </w:rPr>
            </w:pPr>
            <w:r>
              <w:rPr>
                <w:sz w:val="24"/>
                <w:szCs w:val="24"/>
              </w:rPr>
              <w:t>CNPJ:</w:t>
            </w:r>
          </w:p>
        </w:tc>
        <w:tc>
          <w:tcPr>
            <w:tcW w:w="4133" w:type="dxa"/>
            <w:gridSpan w:val="4"/>
          </w:tcPr>
          <w:p>
            <w:pPr>
              <w:spacing w:after="0"/>
              <w:jc w:val="both"/>
              <w:rPr>
                <w:sz w:val="24"/>
                <w:szCs w:val="24"/>
              </w:rPr>
            </w:pPr>
            <w:r>
              <w:rPr>
                <w:sz w:val="24"/>
                <w:szCs w:val="24"/>
              </w:rPr>
              <w:t>INSC. ESTADUAL:</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326" w:hRule="atLeast"/>
        </w:trPr>
        <w:tc>
          <w:tcPr>
            <w:tcW w:w="6602" w:type="dxa"/>
            <w:gridSpan w:val="5"/>
          </w:tcPr>
          <w:p>
            <w:pPr>
              <w:jc w:val="both"/>
              <w:rPr>
                <w:sz w:val="24"/>
                <w:szCs w:val="24"/>
              </w:rPr>
            </w:pPr>
            <w:r>
              <w:rPr>
                <w:sz w:val="24"/>
                <w:szCs w:val="24"/>
              </w:rPr>
              <w:t>ENDEREÇO:</w:t>
            </w:r>
          </w:p>
        </w:tc>
        <w:tc>
          <w:tcPr>
            <w:tcW w:w="3565" w:type="dxa"/>
            <w:gridSpan w:val="2"/>
          </w:tcPr>
          <w:p>
            <w:pPr>
              <w:jc w:val="both"/>
              <w:rPr>
                <w:sz w:val="24"/>
                <w:szCs w:val="24"/>
              </w:rPr>
            </w:pPr>
          </w:p>
        </w:tc>
        <w:tc>
          <w:tcPr>
            <w:tcW w:w="4133" w:type="dxa"/>
            <w:gridSpan w:val="4"/>
          </w:tcPr>
          <w:p>
            <w:pPr>
              <w:spacing w:after="0"/>
              <w:jc w:val="both"/>
              <w:rPr>
                <w:sz w:val="24"/>
                <w:szCs w:val="24"/>
              </w:rPr>
            </w:pPr>
            <w:r>
              <w:rPr>
                <w:sz w:val="24"/>
                <w:szCs w:val="24"/>
              </w:rPr>
              <w:t>TELEFONE: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Height w:val="364" w:hRule="atLeast"/>
        </w:trPr>
        <w:tc>
          <w:tcPr>
            <w:tcW w:w="851" w:type="dxa"/>
            <w:gridSpan w:val="2"/>
            <w:tcBorders>
              <w:bottom w:val="nil"/>
            </w:tcBorders>
          </w:tcPr>
          <w:p>
            <w:pPr>
              <w:jc w:val="both"/>
              <w:rPr>
                <w:iCs/>
                <w:sz w:val="24"/>
                <w:szCs w:val="24"/>
              </w:rPr>
            </w:pPr>
            <w:r>
              <w:rPr>
                <w:iCs/>
                <w:sz w:val="24"/>
                <w:szCs w:val="24"/>
              </w:rPr>
              <w:t>ITEM.</w:t>
            </w:r>
          </w:p>
        </w:tc>
        <w:tc>
          <w:tcPr>
            <w:tcW w:w="1134" w:type="dxa"/>
            <w:tcBorders>
              <w:bottom w:val="nil"/>
            </w:tcBorders>
          </w:tcPr>
          <w:p>
            <w:pPr>
              <w:jc w:val="both"/>
              <w:rPr>
                <w:iCs/>
                <w:sz w:val="24"/>
                <w:szCs w:val="24"/>
              </w:rPr>
            </w:pPr>
            <w:r>
              <w:rPr>
                <w:iCs/>
                <w:sz w:val="24"/>
                <w:szCs w:val="24"/>
              </w:rPr>
              <w:t>QUANT</w:t>
            </w:r>
          </w:p>
        </w:tc>
        <w:tc>
          <w:tcPr>
            <w:tcW w:w="709" w:type="dxa"/>
            <w:tcBorders>
              <w:bottom w:val="nil"/>
            </w:tcBorders>
          </w:tcPr>
          <w:p>
            <w:pPr>
              <w:jc w:val="both"/>
              <w:rPr>
                <w:iCs/>
                <w:sz w:val="24"/>
                <w:szCs w:val="24"/>
              </w:rPr>
            </w:pPr>
            <w:r>
              <w:rPr>
                <w:iCs/>
                <w:sz w:val="24"/>
                <w:szCs w:val="24"/>
              </w:rPr>
              <w:t>UN</w:t>
            </w:r>
          </w:p>
        </w:tc>
        <w:tc>
          <w:tcPr>
            <w:tcW w:w="9214" w:type="dxa"/>
            <w:gridSpan w:val="5"/>
            <w:tcBorders>
              <w:bottom w:val="nil"/>
            </w:tcBorders>
          </w:tcPr>
          <w:p>
            <w:pPr>
              <w:jc w:val="both"/>
              <w:rPr>
                <w:iCs/>
                <w:sz w:val="24"/>
                <w:szCs w:val="24"/>
              </w:rPr>
            </w:pPr>
            <w:r>
              <w:rPr>
                <w:iCs/>
                <w:sz w:val="24"/>
                <w:szCs w:val="24"/>
              </w:rPr>
              <w:t xml:space="preserve">   ESPECIFICAÇÃO</w:t>
            </w:r>
          </w:p>
        </w:tc>
        <w:tc>
          <w:tcPr>
            <w:tcW w:w="2409" w:type="dxa"/>
            <w:gridSpan w:val="2"/>
            <w:tcBorders>
              <w:bottom w:val="nil"/>
            </w:tcBorders>
          </w:tcPr>
          <w:p>
            <w:pPr>
              <w:jc w:val="both"/>
              <w:rPr>
                <w:iCs/>
                <w:sz w:val="24"/>
                <w:szCs w:val="24"/>
              </w:rPr>
            </w:pPr>
            <w:r>
              <w:rPr>
                <w:iCs/>
                <w:sz w:val="24"/>
                <w:szCs w:val="24"/>
              </w:rPr>
              <w:t>PREÇO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Pr>
        <w:tc>
          <w:tcPr>
            <w:tcW w:w="851" w:type="dxa"/>
            <w:gridSpan w:val="2"/>
            <w:tcBorders>
              <w:top w:val="single" w:color="auto" w:sz="4" w:space="0"/>
              <w:left w:val="single" w:color="auto" w:sz="4" w:space="0"/>
              <w:bottom w:val="single" w:color="auto" w:sz="4" w:space="0"/>
            </w:tcBorders>
          </w:tcPr>
          <w:p>
            <w:pPr>
              <w:jc w:val="center"/>
              <w:rPr>
                <w:iCs/>
                <w:sz w:val="24"/>
                <w:szCs w:val="24"/>
              </w:rPr>
            </w:pPr>
            <w:r>
              <w:rPr>
                <w:iCs/>
                <w:sz w:val="24"/>
                <w:szCs w:val="24"/>
              </w:rPr>
              <w:t>1</w:t>
            </w:r>
          </w:p>
        </w:tc>
        <w:tc>
          <w:tcPr>
            <w:tcW w:w="1134" w:type="dxa"/>
            <w:tcBorders>
              <w:top w:val="single" w:color="auto" w:sz="4" w:space="0"/>
              <w:bottom w:val="single" w:color="auto" w:sz="4" w:space="0"/>
            </w:tcBorders>
          </w:tcPr>
          <w:p>
            <w:pPr>
              <w:jc w:val="center"/>
              <w:rPr>
                <w:iCs/>
                <w:sz w:val="24"/>
                <w:szCs w:val="24"/>
              </w:rPr>
            </w:pPr>
            <w:r>
              <w:rPr>
                <w:iCs/>
                <w:sz w:val="24"/>
                <w:szCs w:val="24"/>
              </w:rPr>
              <w:t>1</w:t>
            </w:r>
          </w:p>
        </w:tc>
        <w:tc>
          <w:tcPr>
            <w:tcW w:w="709" w:type="dxa"/>
            <w:tcBorders>
              <w:top w:val="single" w:color="auto" w:sz="4" w:space="0"/>
              <w:bottom w:val="single" w:color="auto" w:sz="4" w:space="0"/>
            </w:tcBorders>
          </w:tcPr>
          <w:p>
            <w:pPr>
              <w:jc w:val="center"/>
              <w:rPr>
                <w:iCs/>
                <w:sz w:val="24"/>
                <w:szCs w:val="24"/>
              </w:rPr>
            </w:pPr>
            <w:r>
              <w:rPr>
                <w:iCs/>
                <w:sz w:val="24"/>
                <w:szCs w:val="24"/>
              </w:rPr>
              <w:t>SRV</w:t>
            </w:r>
          </w:p>
        </w:tc>
        <w:tc>
          <w:tcPr>
            <w:tcW w:w="9214" w:type="dxa"/>
            <w:gridSpan w:val="5"/>
            <w:tcBorders>
              <w:top w:val="single" w:color="auto" w:sz="4" w:space="0"/>
              <w:bottom w:val="single" w:color="auto" w:sz="4" w:space="0"/>
            </w:tcBorders>
          </w:tcPr>
          <w:p>
            <w:pPr>
              <w:jc w:val="both"/>
              <w:rPr>
                <w:iCs/>
                <w:sz w:val="24"/>
                <w:szCs w:val="24"/>
              </w:rPr>
            </w:pPr>
            <w:r>
              <w:rPr>
                <w:iCs/>
                <w:sz w:val="24"/>
                <w:szCs w:val="24"/>
              </w:rPr>
              <w:t xml:space="preserve">SELEÇÃO DE EMPRESA ESPECIALIZADA PARA PRESTAÇÃO DE SERVIÇO DE ASSESSORIA/FISCALIZAÇÃO/CONSULTORIA/SUPERVISÃO/ASSISTÊNCIA PARA ELABORAÇÃO DE PROJETOS CIVIL E DE INFRAESTRUTURA DO MUNICÍPIO DE NAVIRAÍ. CONFORME TERMO DE REFERÊNCIA </w:t>
            </w:r>
          </w:p>
        </w:tc>
        <w:tc>
          <w:tcPr>
            <w:tcW w:w="2409" w:type="dxa"/>
            <w:gridSpan w:val="2"/>
            <w:tcBorders>
              <w:top w:val="single" w:color="auto" w:sz="4" w:space="0"/>
              <w:left w:val="nil"/>
              <w:bottom w:val="single" w:color="auto" w:sz="4" w:space="0"/>
              <w:right w:val="single" w:color="auto" w:sz="4" w:space="0"/>
            </w:tcBorders>
          </w:tcPr>
          <w:p>
            <w:pPr>
              <w:jc w:val="center"/>
              <w:rPr>
                <w:iCs/>
                <w:sz w:val="24"/>
                <w:szCs w:val="24"/>
              </w:rPr>
            </w:pPr>
          </w:p>
        </w:tc>
      </w:tr>
      <w:tr>
        <w:tblPrEx>
          <w:tblCellMar>
            <w:top w:w="0" w:type="dxa"/>
            <w:left w:w="108" w:type="dxa"/>
            <w:bottom w:w="0" w:type="dxa"/>
            <w:right w:w="108" w:type="dxa"/>
          </w:tblCellMar>
        </w:tblPrEx>
        <w:trPr>
          <w:gridAfter w:val="1"/>
          <w:wAfter w:w="17" w:type="dxa"/>
        </w:trPr>
        <w:tc>
          <w:tcPr>
            <w:tcW w:w="14317" w:type="dxa"/>
            <w:gridSpan w:val="11"/>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TOTAL GERAL R$                            (                                                                                        )                                                                               )</w:t>
            </w:r>
          </w:p>
        </w:tc>
      </w:tr>
    </w:tbl>
    <w:p>
      <w:pPr>
        <w:ind w:left="-142"/>
        <w:jc w:val="both"/>
        <w:rPr>
          <w:rFonts w:eastAsia="Arial Unicode MS"/>
          <w:sz w:val="16"/>
          <w:szCs w:val="16"/>
        </w:rPr>
      </w:pPr>
      <w:r>
        <w:rPr>
          <w:rFonts w:eastAsia="Arial Unicode MS"/>
          <w:sz w:val="16"/>
          <w:szCs w:val="16"/>
        </w:rPr>
        <w:t xml:space="preserve">Declaro que examinei, conheço e me submeto a todas as condições contidas no Edital da presente, Licitação modalidade Tomada de Preços nº </w:t>
      </w:r>
      <w:r>
        <w:rPr>
          <w:rFonts w:eastAsia="Arial Unicode MS"/>
          <w:b/>
          <w:sz w:val="16"/>
          <w:szCs w:val="16"/>
        </w:rPr>
        <w:t>003/2021</w:t>
      </w:r>
      <w:r>
        <w:rPr>
          <w:rFonts w:eastAsia="Arial Unicode MS"/>
          <w:sz w:val="16"/>
          <w:szCs w:val="16"/>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16"/>
          <w:szCs w:val="16"/>
        </w:rPr>
        <w:t>PRAZO DE VALIDADE DA PROPOSTA</w:t>
      </w:r>
      <w:r>
        <w:rPr>
          <w:rFonts w:eastAsia="Arial Unicode MS"/>
          <w:sz w:val="16"/>
          <w:szCs w:val="16"/>
        </w:rPr>
        <w:t xml:space="preserve">: MÍNIMO DE 60 (SESSENTA) DIAS, CONTADOS DA DATA DA ABERTURA DA MESMA. </w:t>
      </w:r>
    </w:p>
    <w:p>
      <w:pPr>
        <w:spacing w:after="0"/>
        <w:ind w:left="-142"/>
        <w:jc w:val="right"/>
        <w:rPr>
          <w:rFonts w:eastAsia="Times New Roman"/>
          <w:b/>
          <w:i/>
          <w:sz w:val="24"/>
          <w:szCs w:val="24"/>
          <w:lang w:eastAsia="pt-BR"/>
        </w:rPr>
      </w:pPr>
      <w:r>
        <w:rPr>
          <w:rFonts w:eastAsia="Arial Unicode MS"/>
          <w:sz w:val="16"/>
          <w:szCs w:val="16"/>
        </w:rPr>
        <w:t>(Local)............................., data.................................de 2021.   Nome e assinatura do responsável/representante da empresa.</w:t>
      </w: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sectPr>
          <w:pgSz w:w="15842" w:h="12242" w:orient="landscape"/>
          <w:pgMar w:top="1797" w:right="1100" w:bottom="993" w:left="709" w:header="720" w:footer="720" w:gutter="0"/>
          <w:pgNumType w:start="1"/>
          <w:cols w:space="720" w:num="1"/>
        </w:sectPr>
      </w:pP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pPr>
    </w:p>
    <w:p>
      <w:pPr>
        <w:keepNext/>
        <w:keepLines/>
        <w:widowControl w:val="0"/>
        <w:spacing w:before="20"/>
        <w:jc w:val="center"/>
        <w:rPr>
          <w:b/>
          <w:iCs/>
          <w:sz w:val="24"/>
          <w:szCs w:val="24"/>
        </w:rPr>
      </w:pPr>
      <w:r>
        <w:rPr>
          <w:b/>
          <w:iCs/>
          <w:sz w:val="24"/>
          <w:szCs w:val="24"/>
        </w:rPr>
        <w:t>ANEXO IV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MODELO DA CARTA DE CREDENCIAMENTO</w:t>
      </w:r>
    </w:p>
    <w:p>
      <w:pPr>
        <w:ind w:left="-851" w:right="-618"/>
        <w:jc w:val="center"/>
        <w:rPr>
          <w:sz w:val="24"/>
          <w:szCs w:val="24"/>
          <w:u w:val="single"/>
        </w:rPr>
      </w:pPr>
    </w:p>
    <w:p>
      <w:pPr>
        <w:ind w:left="-851" w:right="-618"/>
        <w:jc w:val="both"/>
        <w:rPr>
          <w:sz w:val="24"/>
          <w:szCs w:val="24"/>
        </w:rPr>
      </w:pPr>
    </w:p>
    <w:p>
      <w:pPr>
        <w:ind w:left="-851" w:right="-618"/>
        <w:jc w:val="both"/>
        <w:rPr>
          <w:sz w:val="24"/>
          <w:szCs w:val="24"/>
        </w:rPr>
      </w:pPr>
    </w:p>
    <w:p>
      <w:pPr>
        <w:ind w:right="-1"/>
        <w:jc w:val="both"/>
        <w:rPr>
          <w:sz w:val="24"/>
          <w:szCs w:val="24"/>
        </w:rPr>
      </w:pPr>
      <w:r>
        <w:rPr>
          <w:sz w:val="24"/>
          <w:szCs w:val="24"/>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rPr>
      </w:pPr>
    </w:p>
    <w:p>
      <w:pPr>
        <w:ind w:right="566" w:firstLine="284"/>
        <w:jc w:val="both"/>
        <w:rPr>
          <w:sz w:val="24"/>
          <w:szCs w:val="24"/>
        </w:rPr>
      </w:pPr>
    </w:p>
    <w:p>
      <w:pPr>
        <w:ind w:right="566" w:firstLine="284"/>
        <w:jc w:val="both"/>
        <w:rPr>
          <w:sz w:val="24"/>
          <w:szCs w:val="24"/>
        </w:rPr>
      </w:pPr>
    </w:p>
    <w:p>
      <w:pPr>
        <w:ind w:right="566" w:firstLine="284"/>
        <w:jc w:val="center"/>
        <w:rPr>
          <w:sz w:val="24"/>
          <w:szCs w:val="24"/>
        </w:rPr>
      </w:pPr>
      <w:r>
        <w:rPr>
          <w:sz w:val="24"/>
          <w:szCs w:val="24"/>
        </w:rPr>
        <w:t>Local, ____  de ________________ de 2021.</w:t>
      </w: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r>
        <w:rPr>
          <w:sz w:val="24"/>
          <w:szCs w:val="24"/>
        </w:rPr>
        <w:t>___________________________</w:t>
      </w:r>
    </w:p>
    <w:p>
      <w:pPr>
        <w:ind w:right="566" w:firstLine="284"/>
        <w:jc w:val="center"/>
        <w:rPr>
          <w:sz w:val="24"/>
          <w:szCs w:val="24"/>
        </w:rPr>
      </w:pPr>
      <w:r>
        <w:rPr>
          <w:sz w:val="24"/>
          <w:szCs w:val="24"/>
        </w:rPr>
        <w:t>Assinatura do Responsável</w:t>
      </w:r>
    </w:p>
    <w:p>
      <w:pPr>
        <w:tabs>
          <w:tab w:val="left" w:pos="3119"/>
        </w:tabs>
        <w:ind w:right="566" w:firstLine="284"/>
        <w:jc w:val="center"/>
        <w:rPr>
          <w:sz w:val="24"/>
          <w:szCs w:val="24"/>
        </w:rPr>
      </w:pPr>
      <w:r>
        <w:rPr>
          <w:sz w:val="24"/>
          <w:szCs w:val="24"/>
        </w:rPr>
        <w:t>Carimbo do CGC</w:t>
      </w:r>
    </w:p>
    <w:p>
      <w:pPr>
        <w:jc w:val="center"/>
        <w:rPr>
          <w:sz w:val="24"/>
          <w:szCs w:val="24"/>
        </w:rPr>
      </w:pPr>
    </w:p>
    <w:p>
      <w:pPr>
        <w:ind w:left="-851" w:right="-618"/>
        <w:jc w:val="center"/>
        <w:rPr>
          <w:b/>
          <w:bCs/>
          <w:sz w:val="24"/>
          <w:szCs w:val="24"/>
          <w:u w:val="single"/>
        </w:rPr>
      </w:pPr>
      <w:r>
        <w:rPr>
          <w:b/>
          <w:bCs/>
          <w:sz w:val="24"/>
          <w:szCs w:val="24"/>
          <w:u w:val="single"/>
        </w:rPr>
        <w:br w:type="page"/>
      </w:r>
    </w:p>
    <w:p>
      <w:pPr>
        <w:ind w:left="-851" w:right="-618"/>
        <w:jc w:val="center"/>
        <w:rPr>
          <w:b/>
          <w:bCs/>
          <w:sz w:val="24"/>
          <w:szCs w:val="24"/>
          <w:u w:val="single"/>
        </w:rPr>
      </w:pPr>
    </w:p>
    <w:p>
      <w:pPr>
        <w:ind w:left="-851" w:right="-618"/>
        <w:jc w:val="center"/>
        <w:rPr>
          <w:b/>
          <w:iCs/>
          <w:sz w:val="24"/>
          <w:szCs w:val="24"/>
        </w:rPr>
      </w:pPr>
      <w:r>
        <w:rPr>
          <w:b/>
          <w:iCs/>
          <w:sz w:val="24"/>
          <w:szCs w:val="24"/>
        </w:rPr>
        <w:t>ANEXO 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DO REPRESENTANTE LEGAL DA EMPRESA LEI 123/06</w:t>
      </w:r>
    </w:p>
    <w:p>
      <w:pPr>
        <w:jc w:val="center"/>
        <w:rPr>
          <w:sz w:val="24"/>
          <w:szCs w:val="24"/>
        </w:rPr>
      </w:pPr>
    </w:p>
    <w:p>
      <w:pPr>
        <w:jc w:val="center"/>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sz w:val="24"/>
          <w:szCs w:val="24"/>
        </w:rPr>
      </w:pPr>
      <w:r>
        <w:rPr>
          <w:sz w:val="24"/>
          <w:szCs w:val="24"/>
        </w:rPr>
        <w:t>(Observação: Declaração terá validade de 30 dias após sua emissão)</w:t>
      </w:r>
    </w:p>
    <w:p>
      <w:pPr>
        <w:jc w:val="both"/>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sz w:val="24"/>
          <w:szCs w:val="24"/>
          <w:u w:val="single"/>
        </w:rPr>
      </w:pPr>
      <w:r>
        <w:rPr>
          <w:b/>
          <w:iCs/>
          <w:sz w:val="24"/>
          <w:szCs w:val="24"/>
        </w:rPr>
        <w:t>DECLARAÇÃO DE NÃO EMPREGOS A MENOR</w:t>
      </w:r>
    </w:p>
    <w:p>
      <w:pPr>
        <w:jc w:val="both"/>
        <w:rPr>
          <w:sz w:val="24"/>
          <w:szCs w:val="24"/>
        </w:rPr>
      </w:pPr>
    </w:p>
    <w:p>
      <w:pPr>
        <w:jc w:val="both"/>
        <w:rPr>
          <w:sz w:val="24"/>
          <w:szCs w:val="24"/>
        </w:rPr>
      </w:pPr>
      <w:r>
        <w:rPr>
          <w:sz w:val="24"/>
          <w:szCs w:val="24"/>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sz w:val="24"/>
          <w:szCs w:val="24"/>
        </w:rPr>
      </w:pPr>
      <w:r>
        <w:rPr>
          <w:sz w:val="24"/>
          <w:szCs w:val="24"/>
        </w:rPr>
        <w:t>Ressalva: emprega menor a partir dos 14 (quatorze) anos, na condição de aprendiz.</w:t>
      </w:r>
    </w:p>
    <w:p>
      <w:pPr>
        <w:jc w:val="both"/>
        <w:rPr>
          <w:sz w:val="24"/>
          <w:szCs w:val="24"/>
        </w:rPr>
      </w:pPr>
    </w:p>
    <w:p>
      <w:pPr>
        <w:jc w:val="center"/>
        <w:rPr>
          <w:sz w:val="24"/>
          <w:szCs w:val="24"/>
        </w:rPr>
      </w:pPr>
      <w:r>
        <w:rPr>
          <w:sz w:val="24"/>
          <w:szCs w:val="24"/>
        </w:rPr>
        <w:t>(Observação: em caso afirmativo, assinalar a ressalva acima).</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sz w:val="24"/>
          <w:szCs w:val="24"/>
        </w:rPr>
        <w:t>MODELO DE DECLARAÇÃO DE FATOS SUPERVENIENTES</w:t>
      </w:r>
    </w:p>
    <w:p>
      <w:pPr>
        <w:tabs>
          <w:tab w:val="left" w:pos="5355"/>
        </w:tabs>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both"/>
        <w:rPr>
          <w:b/>
          <w:bCs/>
          <w:sz w:val="24"/>
          <w:szCs w:val="24"/>
          <w:u w:val="single"/>
        </w:rPr>
      </w:pPr>
    </w:p>
    <w:p>
      <w:pPr>
        <w:jc w:val="both"/>
        <w:rPr>
          <w:sz w:val="24"/>
          <w:szCs w:val="24"/>
        </w:rPr>
      </w:pPr>
      <w:r>
        <w:rPr>
          <w:sz w:val="24"/>
          <w:szCs w:val="24"/>
        </w:rPr>
        <w:t xml:space="preserve"> _____________________________________________________________________</w:t>
      </w:r>
    </w:p>
    <w:p>
      <w:pPr>
        <w:jc w:val="both"/>
        <w:rPr>
          <w:sz w:val="24"/>
          <w:szCs w:val="24"/>
        </w:rPr>
      </w:pPr>
      <w:r>
        <w:rPr>
          <w:sz w:val="24"/>
          <w:szCs w:val="24"/>
        </w:rPr>
        <w:t xml:space="preserve">                                                      Nome da Empresa</w:t>
      </w:r>
    </w:p>
    <w:p>
      <w:pPr>
        <w:jc w:val="both"/>
        <w:rPr>
          <w:sz w:val="24"/>
          <w:szCs w:val="24"/>
        </w:rPr>
      </w:pPr>
      <w:r>
        <w:rPr>
          <w:sz w:val="24"/>
          <w:szCs w:val="24"/>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rPr>
      </w:pPr>
    </w:p>
    <w:p>
      <w:pPr>
        <w:jc w:val="both"/>
        <w:rPr>
          <w:sz w:val="24"/>
          <w:szCs w:val="24"/>
        </w:rPr>
      </w:pPr>
    </w:p>
    <w:p>
      <w:pPr>
        <w:jc w:val="center"/>
        <w:rPr>
          <w:sz w:val="24"/>
          <w:szCs w:val="24"/>
        </w:rPr>
      </w:pPr>
      <w:r>
        <w:rPr>
          <w:sz w:val="24"/>
          <w:szCs w:val="24"/>
        </w:rPr>
        <w:t>Local e Data __________________, ____ de _____________________ de 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_____________________________________________________________</w:t>
      </w:r>
    </w:p>
    <w:p>
      <w:pPr>
        <w:jc w:val="center"/>
        <w:rPr>
          <w:sz w:val="24"/>
          <w:szCs w:val="24"/>
        </w:rPr>
      </w:pPr>
      <w:r>
        <w:rPr>
          <w:sz w:val="24"/>
          <w:szCs w:val="24"/>
        </w:rPr>
        <w:t>Assinatura do responsável legal</w:t>
      </w:r>
    </w:p>
    <w:p>
      <w:pPr>
        <w:jc w:val="center"/>
        <w:rPr>
          <w:sz w:val="24"/>
          <w:szCs w:val="24"/>
        </w:rPr>
      </w:pPr>
    </w:p>
    <w:p>
      <w:pPr>
        <w:jc w:val="center"/>
        <w:rPr>
          <w:sz w:val="24"/>
          <w:szCs w:val="24"/>
        </w:rPr>
      </w:pPr>
      <w:r>
        <w:rPr>
          <w:sz w:val="24"/>
          <w:szCs w:val="24"/>
        </w:rPr>
        <w:t>Obs.: Esta Declaração deverá ser inserida no envelope de Documentos de Habilitação</w:t>
      </w:r>
    </w:p>
    <w:p>
      <w:pPr>
        <w:jc w:val="center"/>
        <w:rPr>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DE CONHECIMENTO E ACEITAÇÃO DO TEOR DO EDITAL</w:t>
      </w:r>
    </w:p>
    <w:p>
      <w:pPr>
        <w:jc w:val="both"/>
        <w:rPr>
          <w:sz w:val="24"/>
          <w:szCs w:val="24"/>
        </w:rPr>
      </w:pPr>
    </w:p>
    <w:p>
      <w:pPr>
        <w:jc w:val="both"/>
        <w:rPr>
          <w:sz w:val="24"/>
          <w:szCs w:val="24"/>
        </w:rPr>
      </w:pPr>
      <w:r>
        <w:rPr>
          <w:sz w:val="24"/>
          <w:szCs w:val="24"/>
        </w:rPr>
        <w:t>_____________________________________________________________________</w:t>
      </w:r>
    </w:p>
    <w:p>
      <w:pPr>
        <w:jc w:val="both"/>
        <w:rPr>
          <w:sz w:val="24"/>
          <w:szCs w:val="24"/>
        </w:rPr>
      </w:pPr>
    </w:p>
    <w:p>
      <w:pPr>
        <w:jc w:val="both"/>
        <w:rPr>
          <w:sz w:val="24"/>
          <w:szCs w:val="24"/>
        </w:rPr>
      </w:pPr>
      <w:r>
        <w:rPr>
          <w:sz w:val="24"/>
          <w:szCs w:val="24"/>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pStyle w:val="27"/>
        <w:tabs>
          <w:tab w:val="right" w:pos="8222"/>
          <w:tab w:val="clear" w:pos="8838"/>
        </w:tabs>
        <w:ind w:right="-947" w:hanging="1276"/>
        <w:jc w:val="center"/>
        <w:rPr>
          <w:b/>
          <w:iCs/>
          <w:color w:val="0000FF"/>
          <w:sz w:val="24"/>
          <w:szCs w:val="24"/>
        </w:rPr>
      </w:pPr>
      <w:r>
        <w:rPr>
          <w:sz w:val="24"/>
          <w:szCs w:val="24"/>
        </w:rPr>
        <w:tab/>
      </w:r>
    </w:p>
    <w:sectPr>
      <w:pgSz w:w="12242" w:h="15842"/>
      <w:pgMar w:top="1701" w:right="992" w:bottom="709" w:left="1797"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Arial Unicode MS">
    <w:altName w:val="Arial"/>
    <w:panose1 w:val="020B0604020202020204"/>
    <w:charset w:val="80"/>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Wingdings">
    <w:panose1 w:val="05000000000000000000"/>
    <w:charset w:val="02"/>
    <w:family w:val="auto"/>
    <w:pitch w:val="default"/>
    <w:sig w:usb0="00000000" w:usb1="00000000" w:usb2="00000000" w:usb3="00000000" w:csb0="80000000" w:csb1="00000000"/>
  </w:font>
  <w:font w:name="Batang">
    <w:altName w:val="Malgun Gothic"/>
    <w:panose1 w:val="02030600000101010101"/>
    <w:charset w:val="81"/>
    <w:family w:val="auto"/>
    <w:pitch w:val="default"/>
    <w:sig w:usb0="00000000" w:usb1="00000000" w:usb2="00000010" w:usb3="00000000" w:csb0="00080000"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p>
  <w:p>
    <w:pPr>
      <w:pStyle w:val="27"/>
      <w:tabs>
        <w:tab w:val="right" w:pos="8222"/>
        <w:tab w:val="clear" w:pos="8838"/>
      </w:tabs>
      <w:ind w:right="-947" w:hanging="1276"/>
      <w:jc w:val="center"/>
      <w:rPr>
        <w:rFonts w:ascii="Garamond" w:hAnsi="Garamond"/>
        <w:b/>
        <w:iCs/>
        <w:color w:val="0000FF"/>
      </w:rPr>
    </w:pPr>
    <w:r>
      <w:rPr>
        <w:sz w:val="24"/>
        <w:szCs w:val="24"/>
      </w:rPr>
      <w:tab/>
    </w:r>
  </w:p>
  <w:p>
    <w:pPr>
      <w:pStyle w:val="27"/>
      <w:tabs>
        <w:tab w:val="right" w:pos="8222"/>
        <w:tab w:val="clear" w:pos="8838"/>
      </w:tabs>
      <w:ind w:left="-1134" w:right="-521"/>
      <w:jc w:val="center"/>
      <w:rPr>
        <w:rFonts w:ascii="Arial" w:hAnsi="Arial"/>
      </w:rPr>
    </w:pPr>
    <w:r>
      <w:rPr>
        <w:rFonts w:ascii="Garamond" w:hAnsi="Garamond"/>
        <w:b/>
        <w:iCs/>
        <w:color w:val="0000F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ascii="Garamond" w:hAnsi="Garamond"/>
        <w:b/>
        <w:iCs/>
        <w:color w:val="0000FF"/>
      </w:rPr>
      <w:t>Praça Prefeito Euclides Antônio Fabris, 343 – Telefax (0**67) 3409-1500 – Cep 79950-000 – e-mail: pregaonavirai@gmail.com</w:t>
    </w:r>
  </w:p>
  <w:p>
    <w:pPr>
      <w:pStyle w:val="27"/>
      <w:jc w:val="center"/>
    </w:pPr>
  </w:p>
  <w:p>
    <w:pPr>
      <w:pStyle w:val="27"/>
      <w:jc w:val="righ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r>
      <w:rPr>
        <w:rStyle w:val="16"/>
      </w:rPr>
      <w:fldChar w:fldCharType="begin"/>
    </w:r>
    <w:r>
      <w:rPr>
        <w:rStyle w:val="16"/>
      </w:rPr>
      <w:instrText xml:space="preserve">PAGE  </w:instrText>
    </w:r>
    <w:r>
      <w:rPr>
        <w:rStyle w:val="16"/>
      </w:rPr>
      <w:fldChar w:fldCharType="end"/>
    </w:r>
  </w:p>
  <w:p>
    <w:pPr>
      <w:pStyle w:val="2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rPr>
        <w:bCs/>
        <w:iCs/>
        <w:szCs w:val="28"/>
        <w:lang w:val="pt-BR" w:eastAsia="pt-B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-212725</wp:posOffset>
          </wp:positionV>
          <wp:extent cx="1440180" cy="1099820"/>
          <wp:effectExtent l="0" t="0" r="7620" b="508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pPr>
      <w:spacing w:after="0"/>
      <w:ind w:left="1134" w:right="-1"/>
      <w:jc w:val="center"/>
      <w:rPr>
        <w:bCs/>
        <w:iCs/>
        <w:sz w:val="28"/>
        <w:szCs w:val="28"/>
      </w:rPr>
    </w:pPr>
    <w:r>
      <w:rPr>
        <w:bCs/>
        <w:iCs/>
        <w:sz w:val="28"/>
        <w:szCs w:val="28"/>
      </w:rPr>
      <w:t>ESTADO DE MATO GROSSO DO SUL</w:t>
    </w:r>
  </w:p>
  <w:p>
    <w:pPr>
      <w:tabs>
        <w:tab w:val="center" w:pos="4419"/>
        <w:tab w:val="right" w:pos="8838"/>
      </w:tabs>
      <w:ind w:right="-241"/>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2C458B"/>
    <w:multiLevelType w:val="singleLevel"/>
    <w:tmpl w:val="9E2C458B"/>
    <w:lvl w:ilvl="0" w:tentative="0">
      <w:start w:val="11"/>
      <w:numFmt w:val="decimal"/>
      <w:suff w:val="space"/>
      <w:lvlText w:val="%1-"/>
      <w:lvlJc w:val="left"/>
    </w:lvl>
  </w:abstractNum>
  <w:abstractNum w:abstractNumId="1">
    <w:nsid w:val="0000001F"/>
    <w:multiLevelType w:val="singleLevel"/>
    <w:tmpl w:val="0000001F"/>
    <w:lvl w:ilvl="0" w:tentative="0">
      <w:start w:val="1"/>
      <w:numFmt w:val="lowerLetter"/>
      <w:lvlText w:val="%1)"/>
      <w:lvlJc w:val="left"/>
      <w:pPr>
        <w:tabs>
          <w:tab w:val="left" w:pos="0"/>
        </w:tabs>
        <w:ind w:left="862" w:hanging="360"/>
      </w:pPr>
    </w:lvl>
  </w:abstractNum>
  <w:abstractNum w:abstractNumId="2">
    <w:nsid w:val="0566579D"/>
    <w:multiLevelType w:val="multilevel"/>
    <w:tmpl w:val="0566579D"/>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3">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4">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6">
    <w:nsid w:val="1339358A"/>
    <w:multiLevelType w:val="multilevel"/>
    <w:tmpl w:val="1339358A"/>
    <w:lvl w:ilvl="0" w:tentative="0">
      <w:start w:val="8"/>
      <w:numFmt w:val="decimal"/>
      <w:lvlText w:val="%1"/>
      <w:lvlJc w:val="left"/>
      <w:pPr>
        <w:ind w:left="360" w:hanging="360"/>
      </w:pPr>
      <w:rPr>
        <w:rFonts w:hint="default"/>
      </w:rPr>
    </w:lvl>
    <w:lvl w:ilvl="1" w:tentative="0">
      <w:start w:val="6"/>
      <w:numFmt w:val="decimal"/>
      <w:lvlText w:val="%1.%2"/>
      <w:lvlJc w:val="left"/>
      <w:pPr>
        <w:ind w:left="502" w:hanging="360"/>
      </w:pPr>
      <w:rPr>
        <w:rFonts w:hint="default"/>
      </w:rPr>
    </w:lvl>
    <w:lvl w:ilvl="2" w:tentative="0">
      <w:start w:val="1"/>
      <w:numFmt w:val="decimal"/>
      <w:lvlText w:val="%1.%2.%3"/>
      <w:lvlJc w:val="left"/>
      <w:pPr>
        <w:ind w:left="1004" w:hanging="720"/>
      </w:pPr>
      <w:rPr>
        <w:rFonts w:hint="default"/>
      </w:rPr>
    </w:lvl>
    <w:lvl w:ilvl="3" w:tentative="0">
      <w:start w:val="1"/>
      <w:numFmt w:val="decimal"/>
      <w:lvlText w:val="%1.%2.%3.%4"/>
      <w:lvlJc w:val="left"/>
      <w:pPr>
        <w:ind w:left="1146" w:hanging="720"/>
      </w:pPr>
      <w:rPr>
        <w:rFonts w:hint="default"/>
      </w:rPr>
    </w:lvl>
    <w:lvl w:ilvl="4" w:tentative="0">
      <w:start w:val="1"/>
      <w:numFmt w:val="decimal"/>
      <w:lvlText w:val="%1.%2.%3.%4.%5"/>
      <w:lvlJc w:val="left"/>
      <w:pPr>
        <w:ind w:left="1648" w:hanging="1080"/>
      </w:pPr>
      <w:rPr>
        <w:rFonts w:hint="default"/>
      </w:rPr>
    </w:lvl>
    <w:lvl w:ilvl="5" w:tentative="0">
      <w:start w:val="1"/>
      <w:numFmt w:val="decimal"/>
      <w:lvlText w:val="%1.%2.%3.%4.%5.%6"/>
      <w:lvlJc w:val="left"/>
      <w:pPr>
        <w:ind w:left="1790" w:hanging="1080"/>
      </w:pPr>
      <w:rPr>
        <w:rFonts w:hint="default"/>
      </w:rPr>
    </w:lvl>
    <w:lvl w:ilvl="6" w:tentative="0">
      <w:start w:val="1"/>
      <w:numFmt w:val="decimal"/>
      <w:lvlText w:val="%1.%2.%3.%4.%5.%6.%7"/>
      <w:lvlJc w:val="left"/>
      <w:pPr>
        <w:ind w:left="2292" w:hanging="1440"/>
      </w:pPr>
      <w:rPr>
        <w:rFonts w:hint="default"/>
      </w:rPr>
    </w:lvl>
    <w:lvl w:ilvl="7" w:tentative="0">
      <w:start w:val="1"/>
      <w:numFmt w:val="decimal"/>
      <w:lvlText w:val="%1.%2.%3.%4.%5.%6.%7.%8"/>
      <w:lvlJc w:val="left"/>
      <w:pPr>
        <w:ind w:left="2434" w:hanging="1440"/>
      </w:pPr>
      <w:rPr>
        <w:rFonts w:hint="default"/>
      </w:rPr>
    </w:lvl>
    <w:lvl w:ilvl="8" w:tentative="0">
      <w:start w:val="1"/>
      <w:numFmt w:val="decimal"/>
      <w:lvlText w:val="%1.%2.%3.%4.%5.%6.%7.%8.%9"/>
      <w:lvlJc w:val="left"/>
      <w:pPr>
        <w:ind w:left="2936" w:hanging="1800"/>
      </w:pPr>
      <w:rPr>
        <w:rFonts w:hint="default"/>
      </w:rPr>
    </w:lvl>
  </w:abstractNum>
  <w:abstractNum w:abstractNumId="7">
    <w:nsid w:val="163D6952"/>
    <w:multiLevelType w:val="multilevel"/>
    <w:tmpl w:val="163D695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A2D73A2"/>
    <w:multiLevelType w:val="multilevel"/>
    <w:tmpl w:val="1A2D73A2"/>
    <w:lvl w:ilvl="0" w:tentative="0">
      <w:start w:val="1"/>
      <w:numFmt w:val="decimal"/>
      <w:lvlText w:val="%1"/>
      <w:lvlJc w:val="left"/>
      <w:pPr>
        <w:tabs>
          <w:tab w:val="left" w:pos="712"/>
        </w:tabs>
        <w:ind w:left="712" w:hanging="570"/>
      </w:pPr>
    </w:lvl>
    <w:lvl w:ilvl="1" w:tentative="0">
      <w:start w:val="1"/>
      <w:numFmt w:val="decimal"/>
      <w:isLgl/>
      <w:lvlText w:val="%1.%2"/>
      <w:lvlJc w:val="left"/>
      <w:pPr>
        <w:tabs>
          <w:tab w:val="left" w:pos="360"/>
        </w:tabs>
        <w:ind w:left="360" w:hanging="360"/>
      </w:pPr>
      <w:rPr>
        <w:rFonts w:cs="Times New Roman"/>
        <w:b w:val="0"/>
      </w:rPr>
    </w:lvl>
    <w:lvl w:ilvl="2" w:tentative="0">
      <w:start w:val="1"/>
      <w:numFmt w:val="decimal"/>
      <w:isLgl/>
      <w:lvlText w:val="%1.%2.%3"/>
      <w:lvlJc w:val="left"/>
      <w:pPr>
        <w:tabs>
          <w:tab w:val="left" w:pos="862"/>
        </w:tabs>
        <w:ind w:left="862" w:hanging="720"/>
      </w:pPr>
      <w:rPr>
        <w:rFonts w:cs="Times New Roman"/>
        <w:b w:val="0"/>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9">
    <w:nsid w:val="1D6B4482"/>
    <w:multiLevelType w:val="multilevel"/>
    <w:tmpl w:val="1D6B4482"/>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10">
    <w:nsid w:val="1DC96BAC"/>
    <w:multiLevelType w:val="multilevel"/>
    <w:tmpl w:val="1DC96BAC"/>
    <w:lvl w:ilvl="0" w:tentative="0">
      <w:start w:val="5"/>
      <w:numFmt w:val="decimal"/>
      <w:lvlText w:val="%1"/>
      <w:lvlJc w:val="left"/>
      <w:pPr>
        <w:ind w:left="480" w:hanging="480"/>
      </w:pPr>
    </w:lvl>
    <w:lvl w:ilvl="1" w:tentative="0">
      <w:start w:val="1"/>
      <w:numFmt w:val="decimal"/>
      <w:lvlText w:val="%1.%2"/>
      <w:lvlJc w:val="left"/>
      <w:pPr>
        <w:ind w:left="480" w:hanging="48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11">
    <w:nsid w:val="1E2777C0"/>
    <w:multiLevelType w:val="multilevel"/>
    <w:tmpl w:val="1E2777C0"/>
    <w:lvl w:ilvl="0" w:tentative="0">
      <w:start w:val="1"/>
      <w:numFmt w:val="bullet"/>
      <w:lvlText w:val=""/>
      <w:lvlJc w:val="left"/>
      <w:pPr>
        <w:tabs>
          <w:tab w:val="left" w:pos="1146"/>
        </w:tabs>
        <w:ind w:left="1146" w:hanging="360"/>
      </w:pPr>
      <w:rPr>
        <w:rFonts w:hint="default" w:ascii="Symbol" w:hAnsi="Symbol"/>
        <w:b/>
        <w:i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12">
    <w:nsid w:val="1E5C5ABB"/>
    <w:multiLevelType w:val="multilevel"/>
    <w:tmpl w:val="1E5C5ABB"/>
    <w:lvl w:ilvl="0" w:tentative="0">
      <w:start w:val="1"/>
      <w:numFmt w:val="upperRoman"/>
      <w:lvlText w:val="%1 - "/>
      <w:lvlJc w:val="right"/>
      <w:pPr>
        <w:ind w:left="862" w:hanging="360"/>
      </w:pPr>
      <w:rPr>
        <w:b/>
        <w:i w:val="0"/>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13">
    <w:nsid w:val="27105330"/>
    <w:multiLevelType w:val="multilevel"/>
    <w:tmpl w:val="2710533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2AB06C76"/>
    <w:multiLevelType w:val="multilevel"/>
    <w:tmpl w:val="2AB06C76"/>
    <w:lvl w:ilvl="0" w:tentative="0">
      <w:start w:val="1"/>
      <w:numFmt w:val="upperRoman"/>
      <w:lvlText w:val="%1 - "/>
      <w:lvlJc w:val="right"/>
      <w:pPr>
        <w:ind w:left="2138" w:hanging="360"/>
      </w:pPr>
      <w:rPr>
        <w:b w:val="0"/>
        <w:i w:val="0"/>
      </w:rPr>
    </w:lvl>
    <w:lvl w:ilvl="1" w:tentative="0">
      <w:start w:val="1"/>
      <w:numFmt w:val="lowerLetter"/>
      <w:lvlText w:val="%2)"/>
      <w:lvlJc w:val="left"/>
      <w:pPr>
        <w:ind w:left="2858" w:hanging="360"/>
      </w:pPr>
    </w:lvl>
    <w:lvl w:ilvl="2" w:tentative="0">
      <w:start w:val="1"/>
      <w:numFmt w:val="decimal"/>
      <w:lvlText w:val="%3"/>
      <w:lvlJc w:val="left"/>
      <w:pPr>
        <w:ind w:left="3758" w:hanging="36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15">
    <w:nsid w:val="2C8C246D"/>
    <w:multiLevelType w:val="multilevel"/>
    <w:tmpl w:val="2C8C246D"/>
    <w:lvl w:ilvl="0" w:tentative="0">
      <w:start w:val="14"/>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16">
    <w:nsid w:val="2E385DB5"/>
    <w:multiLevelType w:val="multilevel"/>
    <w:tmpl w:val="2E385DB5"/>
    <w:lvl w:ilvl="0" w:tentative="0">
      <w:start w:val="1"/>
      <w:numFmt w:val="lowerLetter"/>
      <w:lvlText w:val="%1)"/>
      <w:lvlJc w:val="left"/>
      <w:pPr>
        <w:ind w:left="1636" w:hanging="360"/>
      </w:pPr>
    </w:lvl>
    <w:lvl w:ilvl="1" w:tentative="0">
      <w:start w:val="1"/>
      <w:numFmt w:val="lowerLetter"/>
      <w:lvlText w:val="%2."/>
      <w:lvlJc w:val="left"/>
      <w:pPr>
        <w:ind w:left="2356" w:hanging="360"/>
      </w:pPr>
    </w:lvl>
    <w:lvl w:ilvl="2" w:tentative="0">
      <w:start w:val="1"/>
      <w:numFmt w:val="lowerRoman"/>
      <w:lvlText w:val="%3."/>
      <w:lvlJc w:val="right"/>
      <w:pPr>
        <w:ind w:left="3076" w:hanging="180"/>
      </w:pPr>
    </w:lvl>
    <w:lvl w:ilvl="3" w:tentative="0">
      <w:start w:val="1"/>
      <w:numFmt w:val="decimal"/>
      <w:lvlText w:val="%4."/>
      <w:lvlJc w:val="left"/>
      <w:pPr>
        <w:ind w:left="3796" w:hanging="360"/>
      </w:pPr>
    </w:lvl>
    <w:lvl w:ilvl="4" w:tentative="0">
      <w:start w:val="1"/>
      <w:numFmt w:val="lowerLetter"/>
      <w:lvlText w:val="%5."/>
      <w:lvlJc w:val="left"/>
      <w:pPr>
        <w:ind w:left="4516" w:hanging="360"/>
      </w:pPr>
    </w:lvl>
    <w:lvl w:ilvl="5" w:tentative="0">
      <w:start w:val="1"/>
      <w:numFmt w:val="lowerRoman"/>
      <w:lvlText w:val="%6."/>
      <w:lvlJc w:val="right"/>
      <w:pPr>
        <w:ind w:left="5236" w:hanging="180"/>
      </w:pPr>
    </w:lvl>
    <w:lvl w:ilvl="6" w:tentative="0">
      <w:start w:val="1"/>
      <w:numFmt w:val="decimal"/>
      <w:lvlText w:val="%7."/>
      <w:lvlJc w:val="left"/>
      <w:pPr>
        <w:ind w:left="5956" w:hanging="360"/>
      </w:pPr>
    </w:lvl>
    <w:lvl w:ilvl="7" w:tentative="0">
      <w:start w:val="1"/>
      <w:numFmt w:val="lowerLetter"/>
      <w:lvlText w:val="%8."/>
      <w:lvlJc w:val="left"/>
      <w:pPr>
        <w:ind w:left="6676" w:hanging="360"/>
      </w:pPr>
    </w:lvl>
    <w:lvl w:ilvl="8" w:tentative="0">
      <w:start w:val="1"/>
      <w:numFmt w:val="lowerRoman"/>
      <w:lvlText w:val="%9."/>
      <w:lvlJc w:val="right"/>
      <w:pPr>
        <w:ind w:left="7396" w:hanging="180"/>
      </w:pPr>
    </w:lvl>
  </w:abstractNum>
  <w:abstractNum w:abstractNumId="17">
    <w:nsid w:val="3122186F"/>
    <w:multiLevelType w:val="multilevel"/>
    <w:tmpl w:val="3122186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314B4334"/>
    <w:multiLevelType w:val="multilevel"/>
    <w:tmpl w:val="314B4334"/>
    <w:lvl w:ilvl="0" w:tentative="0">
      <w:start w:val="12"/>
      <w:numFmt w:val="decimal"/>
      <w:lvlText w:val="%1"/>
      <w:lvlJc w:val="left"/>
      <w:pPr>
        <w:ind w:left="420" w:hanging="420"/>
      </w:pPr>
      <w:rPr>
        <w:rFonts w:hint="default"/>
      </w:rPr>
    </w:lvl>
    <w:lvl w:ilvl="1" w:tentative="0">
      <w:start w:val="3"/>
      <w:numFmt w:val="decimal"/>
      <w:lvlText w:val="%1.%2"/>
      <w:lvlJc w:val="left"/>
      <w:pPr>
        <w:ind w:left="912" w:hanging="420"/>
      </w:pPr>
      <w:rPr>
        <w:rFonts w:hint="default"/>
      </w:rPr>
    </w:lvl>
    <w:lvl w:ilvl="2" w:tentative="0">
      <w:start w:val="1"/>
      <w:numFmt w:val="decimal"/>
      <w:lvlText w:val="%1.%2.%3"/>
      <w:lvlJc w:val="left"/>
      <w:pPr>
        <w:ind w:left="1704" w:hanging="720"/>
      </w:pPr>
      <w:rPr>
        <w:rFonts w:hint="default"/>
      </w:rPr>
    </w:lvl>
    <w:lvl w:ilvl="3" w:tentative="0">
      <w:start w:val="1"/>
      <w:numFmt w:val="decimal"/>
      <w:lvlText w:val="%1.%2.%3.%4"/>
      <w:lvlJc w:val="left"/>
      <w:pPr>
        <w:ind w:left="2196" w:hanging="720"/>
      </w:pPr>
      <w:rPr>
        <w:rFonts w:hint="default"/>
      </w:rPr>
    </w:lvl>
    <w:lvl w:ilvl="4" w:tentative="0">
      <w:start w:val="1"/>
      <w:numFmt w:val="decimal"/>
      <w:lvlText w:val="%1.%2.%3.%4.%5"/>
      <w:lvlJc w:val="left"/>
      <w:pPr>
        <w:ind w:left="3048" w:hanging="1080"/>
      </w:pPr>
      <w:rPr>
        <w:rFonts w:hint="default"/>
      </w:rPr>
    </w:lvl>
    <w:lvl w:ilvl="5" w:tentative="0">
      <w:start w:val="1"/>
      <w:numFmt w:val="decimal"/>
      <w:lvlText w:val="%1.%2.%3.%4.%5.%6"/>
      <w:lvlJc w:val="left"/>
      <w:pPr>
        <w:ind w:left="3540" w:hanging="1080"/>
      </w:pPr>
      <w:rPr>
        <w:rFonts w:hint="default"/>
      </w:rPr>
    </w:lvl>
    <w:lvl w:ilvl="6" w:tentative="0">
      <w:start w:val="1"/>
      <w:numFmt w:val="decimal"/>
      <w:lvlText w:val="%1.%2.%3.%4.%5.%6.%7"/>
      <w:lvlJc w:val="left"/>
      <w:pPr>
        <w:ind w:left="4392" w:hanging="1440"/>
      </w:pPr>
      <w:rPr>
        <w:rFonts w:hint="default"/>
      </w:rPr>
    </w:lvl>
    <w:lvl w:ilvl="7" w:tentative="0">
      <w:start w:val="1"/>
      <w:numFmt w:val="decimal"/>
      <w:lvlText w:val="%1.%2.%3.%4.%5.%6.%7.%8"/>
      <w:lvlJc w:val="left"/>
      <w:pPr>
        <w:ind w:left="4884" w:hanging="1440"/>
      </w:pPr>
      <w:rPr>
        <w:rFonts w:hint="default"/>
      </w:rPr>
    </w:lvl>
    <w:lvl w:ilvl="8" w:tentative="0">
      <w:start w:val="1"/>
      <w:numFmt w:val="decimal"/>
      <w:lvlText w:val="%1.%2.%3.%4.%5.%6.%7.%8.%9"/>
      <w:lvlJc w:val="left"/>
      <w:pPr>
        <w:ind w:left="5736" w:hanging="1800"/>
      </w:pPr>
      <w:rPr>
        <w:rFonts w:hint="default"/>
      </w:rPr>
    </w:lvl>
  </w:abstractNum>
  <w:abstractNum w:abstractNumId="19">
    <w:nsid w:val="361D3852"/>
    <w:multiLevelType w:val="multilevel"/>
    <w:tmpl w:val="361D3852"/>
    <w:lvl w:ilvl="0" w:tentative="0">
      <w:start w:val="10"/>
      <w:numFmt w:val="decimal"/>
      <w:lvlText w:val="%1"/>
      <w:lvlJc w:val="left"/>
      <w:pPr>
        <w:ind w:left="420" w:hanging="420"/>
      </w:pPr>
      <w:rPr>
        <w:rFonts w:hint="default"/>
      </w:rPr>
    </w:lvl>
    <w:lvl w:ilvl="1" w:tentative="0">
      <w:start w:val="1"/>
      <w:numFmt w:val="decimal"/>
      <w:lvlText w:val="%1.%2"/>
      <w:lvlJc w:val="left"/>
      <w:pPr>
        <w:ind w:left="960" w:hanging="420"/>
      </w:pPr>
      <w:rPr>
        <w:rFonts w:hint="default"/>
      </w:rPr>
    </w:lvl>
    <w:lvl w:ilvl="2" w:tentative="0">
      <w:start w:val="1"/>
      <w:numFmt w:val="decimal"/>
      <w:lvlText w:val="%1.%2.%3"/>
      <w:lvlJc w:val="left"/>
      <w:pPr>
        <w:ind w:left="1800" w:hanging="720"/>
      </w:pPr>
      <w:rPr>
        <w:rFonts w:hint="default"/>
      </w:rPr>
    </w:lvl>
    <w:lvl w:ilvl="3" w:tentative="0">
      <w:start w:val="1"/>
      <w:numFmt w:val="decimal"/>
      <w:lvlText w:val="%1.%2.%3.%4"/>
      <w:lvlJc w:val="left"/>
      <w:pPr>
        <w:ind w:left="2340" w:hanging="720"/>
      </w:pPr>
      <w:rPr>
        <w:rFonts w:hint="default"/>
      </w:rPr>
    </w:lvl>
    <w:lvl w:ilvl="4" w:tentative="0">
      <w:start w:val="1"/>
      <w:numFmt w:val="decimal"/>
      <w:lvlText w:val="%1.%2.%3.%4.%5"/>
      <w:lvlJc w:val="left"/>
      <w:pPr>
        <w:ind w:left="3240" w:hanging="1080"/>
      </w:pPr>
      <w:rPr>
        <w:rFonts w:hint="default"/>
      </w:rPr>
    </w:lvl>
    <w:lvl w:ilvl="5" w:tentative="0">
      <w:start w:val="1"/>
      <w:numFmt w:val="decimal"/>
      <w:lvlText w:val="%1.%2.%3.%4.%5.%6"/>
      <w:lvlJc w:val="left"/>
      <w:pPr>
        <w:ind w:left="3780" w:hanging="1080"/>
      </w:pPr>
      <w:rPr>
        <w:rFonts w:hint="default"/>
      </w:rPr>
    </w:lvl>
    <w:lvl w:ilvl="6" w:tentative="0">
      <w:start w:val="1"/>
      <w:numFmt w:val="decimal"/>
      <w:lvlText w:val="%1.%2.%3.%4.%5.%6.%7"/>
      <w:lvlJc w:val="left"/>
      <w:pPr>
        <w:ind w:left="4680" w:hanging="1440"/>
      </w:pPr>
      <w:rPr>
        <w:rFonts w:hint="default"/>
      </w:rPr>
    </w:lvl>
    <w:lvl w:ilvl="7" w:tentative="0">
      <w:start w:val="1"/>
      <w:numFmt w:val="decimal"/>
      <w:lvlText w:val="%1.%2.%3.%4.%5.%6.%7.%8"/>
      <w:lvlJc w:val="left"/>
      <w:pPr>
        <w:ind w:left="5220" w:hanging="1440"/>
      </w:pPr>
      <w:rPr>
        <w:rFonts w:hint="default"/>
      </w:rPr>
    </w:lvl>
    <w:lvl w:ilvl="8" w:tentative="0">
      <w:start w:val="1"/>
      <w:numFmt w:val="decimal"/>
      <w:lvlText w:val="%1.%2.%3.%4.%5.%6.%7.%8.%9"/>
      <w:lvlJc w:val="left"/>
      <w:pPr>
        <w:ind w:left="6120" w:hanging="1800"/>
      </w:pPr>
      <w:rPr>
        <w:rFonts w:hint="default"/>
      </w:rPr>
    </w:lvl>
  </w:abstractNum>
  <w:abstractNum w:abstractNumId="20">
    <w:nsid w:val="3A6865F8"/>
    <w:multiLevelType w:val="multilevel"/>
    <w:tmpl w:val="3A6865F8"/>
    <w:lvl w:ilvl="0" w:tentative="0">
      <w:start w:val="12"/>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1">
    <w:nsid w:val="3FA13B71"/>
    <w:multiLevelType w:val="multilevel"/>
    <w:tmpl w:val="3FA13B71"/>
    <w:lvl w:ilvl="0" w:tentative="0">
      <w:start w:val="8"/>
      <w:numFmt w:val="decimal"/>
      <w:lvlText w:val="%1"/>
      <w:lvlJc w:val="left"/>
      <w:pPr>
        <w:ind w:left="360" w:hanging="360"/>
      </w:pPr>
      <w:rPr>
        <w:rFonts w:hint="default"/>
      </w:rPr>
    </w:lvl>
    <w:lvl w:ilvl="1" w:tentative="0">
      <w:start w:val="1"/>
      <w:numFmt w:val="decimal"/>
      <w:lvlText w:val="%1.%2"/>
      <w:lvlJc w:val="left"/>
      <w:pPr>
        <w:ind w:left="502"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2">
    <w:nsid w:val="51CA046C"/>
    <w:multiLevelType w:val="multilevel"/>
    <w:tmpl w:val="51CA046C"/>
    <w:lvl w:ilvl="0" w:tentative="0">
      <w:start w:val="5"/>
      <w:numFmt w:val="decimal"/>
      <w:lvlText w:val="%1"/>
      <w:lvlJc w:val="left"/>
      <w:pPr>
        <w:ind w:left="360" w:hanging="360"/>
      </w:pPr>
    </w:lvl>
    <w:lvl w:ilvl="1" w:tentative="0">
      <w:start w:val="2"/>
      <w:numFmt w:val="decimal"/>
      <w:lvlText w:val="%1.%2"/>
      <w:lvlJc w:val="left"/>
      <w:pPr>
        <w:ind w:left="360" w:hanging="36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23">
    <w:nsid w:val="53CD34DF"/>
    <w:multiLevelType w:val="multilevel"/>
    <w:tmpl w:val="53CD34D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5D316E7F"/>
    <w:multiLevelType w:val="multilevel"/>
    <w:tmpl w:val="5D316E7F"/>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25">
    <w:nsid w:val="6A4524E8"/>
    <w:multiLevelType w:val="multilevel"/>
    <w:tmpl w:val="6A4524E8"/>
    <w:lvl w:ilvl="0" w:tentative="0">
      <w:start w:val="1"/>
      <w:numFmt w:val="lowerLetter"/>
      <w:lvlText w:val="%1)"/>
      <w:lvlJc w:val="left"/>
      <w:pPr>
        <w:ind w:left="1920" w:hanging="360"/>
      </w:pPr>
    </w:lvl>
    <w:lvl w:ilvl="1" w:tentative="0">
      <w:start w:val="1"/>
      <w:numFmt w:val="lowerLetter"/>
      <w:lvlText w:val="%2."/>
      <w:lvlJc w:val="left"/>
      <w:pPr>
        <w:ind w:left="2640" w:hanging="360"/>
      </w:pPr>
    </w:lvl>
    <w:lvl w:ilvl="2" w:tentative="0">
      <w:start w:val="1"/>
      <w:numFmt w:val="lowerRoman"/>
      <w:lvlText w:val="%3."/>
      <w:lvlJc w:val="right"/>
      <w:pPr>
        <w:ind w:left="3360" w:hanging="180"/>
      </w:pPr>
    </w:lvl>
    <w:lvl w:ilvl="3" w:tentative="0">
      <w:start w:val="1"/>
      <w:numFmt w:val="decimal"/>
      <w:lvlText w:val="%4."/>
      <w:lvlJc w:val="left"/>
      <w:pPr>
        <w:ind w:left="4080" w:hanging="360"/>
      </w:pPr>
    </w:lvl>
    <w:lvl w:ilvl="4" w:tentative="0">
      <w:start w:val="1"/>
      <w:numFmt w:val="lowerLetter"/>
      <w:lvlText w:val="%5."/>
      <w:lvlJc w:val="left"/>
      <w:pPr>
        <w:ind w:left="4800" w:hanging="360"/>
      </w:pPr>
    </w:lvl>
    <w:lvl w:ilvl="5" w:tentative="0">
      <w:start w:val="1"/>
      <w:numFmt w:val="lowerRoman"/>
      <w:lvlText w:val="%6."/>
      <w:lvlJc w:val="right"/>
      <w:pPr>
        <w:ind w:left="5520" w:hanging="180"/>
      </w:pPr>
    </w:lvl>
    <w:lvl w:ilvl="6" w:tentative="0">
      <w:start w:val="1"/>
      <w:numFmt w:val="decimal"/>
      <w:lvlText w:val="%7."/>
      <w:lvlJc w:val="left"/>
      <w:pPr>
        <w:ind w:left="6240" w:hanging="360"/>
      </w:pPr>
    </w:lvl>
    <w:lvl w:ilvl="7" w:tentative="0">
      <w:start w:val="1"/>
      <w:numFmt w:val="lowerLetter"/>
      <w:lvlText w:val="%8."/>
      <w:lvlJc w:val="left"/>
      <w:pPr>
        <w:ind w:left="6960" w:hanging="360"/>
      </w:pPr>
    </w:lvl>
    <w:lvl w:ilvl="8" w:tentative="0">
      <w:start w:val="1"/>
      <w:numFmt w:val="lowerRoman"/>
      <w:lvlText w:val="%9."/>
      <w:lvlJc w:val="right"/>
      <w:pPr>
        <w:ind w:left="7680" w:hanging="180"/>
      </w:pPr>
    </w:lvl>
  </w:abstractNum>
  <w:abstractNum w:abstractNumId="26">
    <w:nsid w:val="6BD4611E"/>
    <w:multiLevelType w:val="multilevel"/>
    <w:tmpl w:val="6BD4611E"/>
    <w:lvl w:ilvl="0" w:tentative="0">
      <w:start w:val="9"/>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7">
    <w:nsid w:val="6E4A59CD"/>
    <w:multiLevelType w:val="multilevel"/>
    <w:tmpl w:val="6E4A59CD"/>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28">
    <w:nsid w:val="6EF1587B"/>
    <w:multiLevelType w:val="multilevel"/>
    <w:tmpl w:val="6EF1587B"/>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70CE545D"/>
    <w:multiLevelType w:val="multilevel"/>
    <w:tmpl w:val="70CE545D"/>
    <w:lvl w:ilvl="0" w:tentative="0">
      <w:start w:val="1"/>
      <w:numFmt w:val="lowerLetter"/>
      <w:lvlText w:val="%1)"/>
      <w:lvlJc w:val="left"/>
      <w:pPr>
        <w:ind w:left="1854" w:hanging="360"/>
      </w:pPr>
    </w:lvl>
    <w:lvl w:ilvl="1" w:tentative="0">
      <w:start w:val="1"/>
      <w:numFmt w:val="lowerLetter"/>
      <w:lvlText w:val="%2."/>
      <w:lvlJc w:val="left"/>
      <w:pPr>
        <w:ind w:left="2574" w:hanging="360"/>
      </w:pPr>
    </w:lvl>
    <w:lvl w:ilvl="2" w:tentative="0">
      <w:start w:val="1"/>
      <w:numFmt w:val="lowerRoman"/>
      <w:lvlText w:val="%3."/>
      <w:lvlJc w:val="right"/>
      <w:pPr>
        <w:ind w:left="3294" w:hanging="180"/>
      </w:pPr>
    </w:lvl>
    <w:lvl w:ilvl="3" w:tentative="0">
      <w:start w:val="1"/>
      <w:numFmt w:val="decimal"/>
      <w:lvlText w:val="%4."/>
      <w:lvlJc w:val="left"/>
      <w:pPr>
        <w:ind w:left="4014" w:hanging="360"/>
      </w:pPr>
    </w:lvl>
    <w:lvl w:ilvl="4" w:tentative="0">
      <w:start w:val="1"/>
      <w:numFmt w:val="lowerLetter"/>
      <w:lvlText w:val="%5."/>
      <w:lvlJc w:val="left"/>
      <w:pPr>
        <w:ind w:left="4734" w:hanging="360"/>
      </w:pPr>
    </w:lvl>
    <w:lvl w:ilvl="5" w:tentative="0">
      <w:start w:val="1"/>
      <w:numFmt w:val="lowerRoman"/>
      <w:lvlText w:val="%6."/>
      <w:lvlJc w:val="right"/>
      <w:pPr>
        <w:ind w:left="5454" w:hanging="180"/>
      </w:pPr>
    </w:lvl>
    <w:lvl w:ilvl="6" w:tentative="0">
      <w:start w:val="1"/>
      <w:numFmt w:val="decimal"/>
      <w:lvlText w:val="%7."/>
      <w:lvlJc w:val="left"/>
      <w:pPr>
        <w:ind w:left="6174" w:hanging="360"/>
      </w:pPr>
    </w:lvl>
    <w:lvl w:ilvl="7" w:tentative="0">
      <w:start w:val="1"/>
      <w:numFmt w:val="lowerLetter"/>
      <w:lvlText w:val="%8."/>
      <w:lvlJc w:val="left"/>
      <w:pPr>
        <w:ind w:left="6894" w:hanging="360"/>
      </w:pPr>
    </w:lvl>
    <w:lvl w:ilvl="8" w:tentative="0">
      <w:start w:val="1"/>
      <w:numFmt w:val="lowerRoman"/>
      <w:lvlText w:val="%9."/>
      <w:lvlJc w:val="right"/>
      <w:pPr>
        <w:ind w:left="7614" w:hanging="180"/>
      </w:pPr>
    </w:lvl>
  </w:abstractNum>
  <w:abstractNum w:abstractNumId="30">
    <w:nsid w:val="722428F2"/>
    <w:multiLevelType w:val="multilevel"/>
    <w:tmpl w:val="722428F2"/>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1">
    <w:nsid w:val="75B620D5"/>
    <w:multiLevelType w:val="multilevel"/>
    <w:tmpl w:val="75B620D5"/>
    <w:lvl w:ilvl="0" w:tentative="0">
      <w:start w:val="11"/>
      <w:numFmt w:val="decimal"/>
      <w:lvlText w:val="%1"/>
      <w:lvlJc w:val="left"/>
      <w:pPr>
        <w:ind w:left="420" w:hanging="420"/>
      </w:pPr>
      <w:rPr>
        <w:rFonts w:hint="default"/>
      </w:rPr>
    </w:lvl>
    <w:lvl w:ilvl="1" w:tentative="0">
      <w:start w:val="1"/>
      <w:numFmt w:val="decimal"/>
      <w:lvlText w:val="%1.%2"/>
      <w:lvlJc w:val="left"/>
      <w:pPr>
        <w:ind w:left="1554" w:hanging="420"/>
      </w:pPr>
      <w:rPr>
        <w:rFonts w:hint="default"/>
      </w:rPr>
    </w:lvl>
    <w:lvl w:ilvl="2" w:tentative="0">
      <w:start w:val="1"/>
      <w:numFmt w:val="decimal"/>
      <w:lvlText w:val="%1.%2.%3"/>
      <w:lvlJc w:val="left"/>
      <w:pPr>
        <w:ind w:left="2988" w:hanging="720"/>
      </w:pPr>
      <w:rPr>
        <w:rFonts w:hint="default"/>
      </w:rPr>
    </w:lvl>
    <w:lvl w:ilvl="3" w:tentative="0">
      <w:start w:val="1"/>
      <w:numFmt w:val="decimal"/>
      <w:lvlText w:val="%1.%2.%3.%4"/>
      <w:lvlJc w:val="left"/>
      <w:pPr>
        <w:ind w:left="4122" w:hanging="720"/>
      </w:pPr>
      <w:rPr>
        <w:rFonts w:hint="default"/>
      </w:rPr>
    </w:lvl>
    <w:lvl w:ilvl="4" w:tentative="0">
      <w:start w:val="1"/>
      <w:numFmt w:val="decimal"/>
      <w:lvlText w:val="%1.%2.%3.%4.%5"/>
      <w:lvlJc w:val="left"/>
      <w:pPr>
        <w:ind w:left="5616" w:hanging="1080"/>
      </w:pPr>
      <w:rPr>
        <w:rFonts w:hint="default"/>
      </w:rPr>
    </w:lvl>
    <w:lvl w:ilvl="5" w:tentative="0">
      <w:start w:val="1"/>
      <w:numFmt w:val="decimal"/>
      <w:lvlText w:val="%1.%2.%3.%4.%5.%6"/>
      <w:lvlJc w:val="left"/>
      <w:pPr>
        <w:ind w:left="6750" w:hanging="1080"/>
      </w:pPr>
      <w:rPr>
        <w:rFonts w:hint="default"/>
      </w:rPr>
    </w:lvl>
    <w:lvl w:ilvl="6" w:tentative="0">
      <w:start w:val="1"/>
      <w:numFmt w:val="decimal"/>
      <w:lvlText w:val="%1.%2.%3.%4.%5.%6.%7"/>
      <w:lvlJc w:val="left"/>
      <w:pPr>
        <w:ind w:left="8244" w:hanging="1440"/>
      </w:pPr>
      <w:rPr>
        <w:rFonts w:hint="default"/>
      </w:rPr>
    </w:lvl>
    <w:lvl w:ilvl="7" w:tentative="0">
      <w:start w:val="1"/>
      <w:numFmt w:val="decimal"/>
      <w:lvlText w:val="%1.%2.%3.%4.%5.%6.%7.%8"/>
      <w:lvlJc w:val="left"/>
      <w:pPr>
        <w:ind w:left="9378" w:hanging="1440"/>
      </w:pPr>
      <w:rPr>
        <w:rFonts w:hint="default"/>
      </w:rPr>
    </w:lvl>
    <w:lvl w:ilvl="8" w:tentative="0">
      <w:start w:val="1"/>
      <w:numFmt w:val="decimal"/>
      <w:lvlText w:val="%1.%2.%3.%4.%5.%6.%7.%8.%9"/>
      <w:lvlJc w:val="left"/>
      <w:pPr>
        <w:ind w:left="10872" w:hanging="1800"/>
      </w:pPr>
      <w:rPr>
        <w:rFonts w:hint="default"/>
      </w:rPr>
    </w:lvl>
  </w:abstractNum>
  <w:abstractNum w:abstractNumId="32">
    <w:nsid w:val="7C227D02"/>
    <w:multiLevelType w:val="multilevel"/>
    <w:tmpl w:val="7C227D0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7D323ACB"/>
    <w:multiLevelType w:val="multilevel"/>
    <w:tmpl w:val="7D323ACB"/>
    <w:lvl w:ilvl="0" w:tentative="0">
      <w:start w:val="5"/>
      <w:numFmt w:val="decimal"/>
      <w:lvlText w:val="%1"/>
      <w:lvlJc w:val="left"/>
      <w:pPr>
        <w:ind w:left="360" w:hanging="360"/>
      </w:pPr>
    </w:lvl>
    <w:lvl w:ilvl="1" w:tentative="0">
      <w:start w:val="2"/>
      <w:numFmt w:val="decimal"/>
      <w:lvlText w:val="%1.%2"/>
      <w:lvlJc w:val="left"/>
      <w:pPr>
        <w:ind w:left="1646" w:hanging="360"/>
      </w:pPr>
    </w:lvl>
    <w:lvl w:ilvl="2" w:tentative="0">
      <w:start w:val="1"/>
      <w:numFmt w:val="decimal"/>
      <w:lvlText w:val="%1.%2.%3"/>
      <w:lvlJc w:val="left"/>
      <w:pPr>
        <w:ind w:left="3292" w:hanging="720"/>
      </w:pPr>
    </w:lvl>
    <w:lvl w:ilvl="3" w:tentative="0">
      <w:start w:val="1"/>
      <w:numFmt w:val="decimal"/>
      <w:lvlText w:val="%1.%2.%3.%4"/>
      <w:lvlJc w:val="left"/>
      <w:pPr>
        <w:ind w:left="4578" w:hanging="720"/>
      </w:pPr>
    </w:lvl>
    <w:lvl w:ilvl="4" w:tentative="0">
      <w:start w:val="1"/>
      <w:numFmt w:val="decimal"/>
      <w:lvlText w:val="%1.%2.%3.%4.%5"/>
      <w:lvlJc w:val="left"/>
      <w:pPr>
        <w:ind w:left="6224" w:hanging="1080"/>
      </w:pPr>
    </w:lvl>
    <w:lvl w:ilvl="5" w:tentative="0">
      <w:start w:val="1"/>
      <w:numFmt w:val="decimal"/>
      <w:lvlText w:val="%1.%2.%3.%4.%5.%6"/>
      <w:lvlJc w:val="left"/>
      <w:pPr>
        <w:ind w:left="7510" w:hanging="1080"/>
      </w:pPr>
    </w:lvl>
    <w:lvl w:ilvl="6" w:tentative="0">
      <w:start w:val="1"/>
      <w:numFmt w:val="decimal"/>
      <w:lvlText w:val="%1.%2.%3.%4.%5.%6.%7"/>
      <w:lvlJc w:val="left"/>
      <w:pPr>
        <w:ind w:left="9156" w:hanging="1440"/>
      </w:pPr>
    </w:lvl>
    <w:lvl w:ilvl="7" w:tentative="0">
      <w:start w:val="1"/>
      <w:numFmt w:val="decimal"/>
      <w:lvlText w:val="%1.%2.%3.%4.%5.%6.%7.%8"/>
      <w:lvlJc w:val="left"/>
      <w:pPr>
        <w:ind w:left="10442" w:hanging="1440"/>
      </w:pPr>
    </w:lvl>
    <w:lvl w:ilvl="8" w:tentative="0">
      <w:start w:val="1"/>
      <w:numFmt w:val="decimal"/>
      <w:lvlText w:val="%1.%2.%3.%4.%5.%6.%7.%8.%9"/>
      <w:lvlJc w:val="left"/>
      <w:pPr>
        <w:ind w:left="12088" w:hanging="1800"/>
      </w:p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33"/>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
    <w:lvlOverride w:ilvl="0">
      <w:startOverride w:val="1"/>
    </w:lvlOverride>
  </w:num>
  <w:num w:numId="8">
    <w:abstractNumId w:val="1"/>
  </w:num>
  <w:num w:numId="9">
    <w:abstractNumId w:val="7"/>
  </w:num>
  <w:num w:numId="10">
    <w:abstractNumId w:val="28"/>
  </w:num>
  <w:num w:numId="1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22"/>
  </w:num>
  <w:num w:numId="16">
    <w:abstractNumId w:val="18"/>
  </w:num>
  <w:num w:numId="17">
    <w:abstractNumId w:val="11"/>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num>
  <w:num w:numId="19">
    <w:abstractNumId w:val="14"/>
  </w:num>
  <w:num w:numId="20">
    <w:abstractNumId w:val="16"/>
  </w:num>
  <w:num w:numId="21">
    <w:abstractNumId w:val="17"/>
  </w:num>
  <w:num w:numId="22">
    <w:abstractNumId w:val="32"/>
  </w:num>
  <w:num w:numId="23">
    <w:abstractNumId w:val="21"/>
  </w:num>
  <w:num w:numId="24">
    <w:abstractNumId w:val="6"/>
  </w:num>
  <w:num w:numId="25">
    <w:abstractNumId w:val="26"/>
  </w:num>
  <w:num w:numId="26">
    <w:abstractNumId w:val="19"/>
  </w:num>
  <w:num w:numId="27">
    <w:abstractNumId w:val="31"/>
  </w:num>
  <w:num w:numId="28">
    <w:abstractNumId w:val="30"/>
  </w:num>
  <w:num w:numId="29">
    <w:abstractNumId w:val="12"/>
  </w:num>
  <w:num w:numId="30">
    <w:abstractNumId w:val="27"/>
  </w:num>
  <w:num w:numId="31">
    <w:abstractNumId w:val="29"/>
  </w:num>
  <w:num w:numId="32">
    <w:abstractNumId w:val="9"/>
  </w:num>
  <w:num w:numId="33">
    <w:abstractNumId w:val="20"/>
  </w:num>
  <w:num w:numId="34">
    <w:abstractNumId w:val="15"/>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01EEF"/>
    <w:rsid w:val="000F1AD8"/>
    <w:rsid w:val="000F7E9D"/>
    <w:rsid w:val="00115B13"/>
    <w:rsid w:val="00156A7C"/>
    <w:rsid w:val="001653B1"/>
    <w:rsid w:val="001769A3"/>
    <w:rsid w:val="00190008"/>
    <w:rsid w:val="00197248"/>
    <w:rsid w:val="001B44AA"/>
    <w:rsid w:val="001C0ADA"/>
    <w:rsid w:val="001E649F"/>
    <w:rsid w:val="001F156D"/>
    <w:rsid w:val="00211861"/>
    <w:rsid w:val="00260349"/>
    <w:rsid w:val="002E41F8"/>
    <w:rsid w:val="003025E6"/>
    <w:rsid w:val="0032348C"/>
    <w:rsid w:val="00323CBA"/>
    <w:rsid w:val="0032553A"/>
    <w:rsid w:val="003426D5"/>
    <w:rsid w:val="003714B6"/>
    <w:rsid w:val="0039458B"/>
    <w:rsid w:val="003C2373"/>
    <w:rsid w:val="003D0550"/>
    <w:rsid w:val="003E24E4"/>
    <w:rsid w:val="0042474C"/>
    <w:rsid w:val="0046393C"/>
    <w:rsid w:val="004A3DEC"/>
    <w:rsid w:val="004B0895"/>
    <w:rsid w:val="004D37BB"/>
    <w:rsid w:val="004F4CE5"/>
    <w:rsid w:val="004F7036"/>
    <w:rsid w:val="00566CAF"/>
    <w:rsid w:val="005708E1"/>
    <w:rsid w:val="00577289"/>
    <w:rsid w:val="005A691A"/>
    <w:rsid w:val="005E14C1"/>
    <w:rsid w:val="006336BB"/>
    <w:rsid w:val="00647FE2"/>
    <w:rsid w:val="00652979"/>
    <w:rsid w:val="00663E6B"/>
    <w:rsid w:val="00673661"/>
    <w:rsid w:val="00684941"/>
    <w:rsid w:val="006B6465"/>
    <w:rsid w:val="006E1734"/>
    <w:rsid w:val="006E5C35"/>
    <w:rsid w:val="0070513A"/>
    <w:rsid w:val="00756509"/>
    <w:rsid w:val="007728FF"/>
    <w:rsid w:val="00782786"/>
    <w:rsid w:val="007953B9"/>
    <w:rsid w:val="008301C9"/>
    <w:rsid w:val="00882852"/>
    <w:rsid w:val="00883F82"/>
    <w:rsid w:val="008947D5"/>
    <w:rsid w:val="008A4880"/>
    <w:rsid w:val="008C3C01"/>
    <w:rsid w:val="008D13AB"/>
    <w:rsid w:val="008E4293"/>
    <w:rsid w:val="008F0F0D"/>
    <w:rsid w:val="008F22D4"/>
    <w:rsid w:val="00921602"/>
    <w:rsid w:val="009245B2"/>
    <w:rsid w:val="00924930"/>
    <w:rsid w:val="00934FD2"/>
    <w:rsid w:val="00962FA2"/>
    <w:rsid w:val="00973392"/>
    <w:rsid w:val="0099548F"/>
    <w:rsid w:val="009B227C"/>
    <w:rsid w:val="009C386D"/>
    <w:rsid w:val="009F153C"/>
    <w:rsid w:val="00A153B5"/>
    <w:rsid w:val="00A21365"/>
    <w:rsid w:val="00A67699"/>
    <w:rsid w:val="00A72D32"/>
    <w:rsid w:val="00AD6887"/>
    <w:rsid w:val="00AE1BB4"/>
    <w:rsid w:val="00AE67C3"/>
    <w:rsid w:val="00AE7B01"/>
    <w:rsid w:val="00B31B18"/>
    <w:rsid w:val="00B56B5E"/>
    <w:rsid w:val="00B60F67"/>
    <w:rsid w:val="00B92F5D"/>
    <w:rsid w:val="00BB4F8E"/>
    <w:rsid w:val="00BC4C88"/>
    <w:rsid w:val="00BD2D29"/>
    <w:rsid w:val="00BD6983"/>
    <w:rsid w:val="00BE4B9E"/>
    <w:rsid w:val="00BF731A"/>
    <w:rsid w:val="00C1565C"/>
    <w:rsid w:val="00C84D67"/>
    <w:rsid w:val="00CB27E9"/>
    <w:rsid w:val="00CB67C8"/>
    <w:rsid w:val="00CC2E7F"/>
    <w:rsid w:val="00CD3DF7"/>
    <w:rsid w:val="00D235E3"/>
    <w:rsid w:val="00D3636B"/>
    <w:rsid w:val="00D84269"/>
    <w:rsid w:val="00D86AB7"/>
    <w:rsid w:val="00DD0D3A"/>
    <w:rsid w:val="00DD7543"/>
    <w:rsid w:val="00DF7773"/>
    <w:rsid w:val="00E24E68"/>
    <w:rsid w:val="00E33EC0"/>
    <w:rsid w:val="00E75478"/>
    <w:rsid w:val="00E81D2E"/>
    <w:rsid w:val="00EA0D32"/>
    <w:rsid w:val="00EC3A64"/>
    <w:rsid w:val="00F231ED"/>
    <w:rsid w:val="00FB4BD3"/>
    <w:rsid w:val="126F33E4"/>
    <w:rsid w:val="2A292C9C"/>
    <w:rsid w:val="4F425471"/>
    <w:rsid w:val="5CBF09DF"/>
    <w:rsid w:val="7A211525"/>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nhideWhenUsed="0" w:uiPriority="0" w:semiHidden="0" w:name="annotation text"/>
    <w:lsdException w:uiPriority="0" w:semiHidden="0" w:name="header"/>
    <w:lsdException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unhideWhenUsed="0" w:uiPriority="0" w:semiHidden="0"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0" w:semiHidden="0" w:name="Body Text"/>
    <w:lsdException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0" w:semiHidden="0" w:name="Body Text 2"/>
    <w:lsdException w:uiPriority="0" w:semiHidden="0" w:name="Body Text 3"/>
    <w:lsdException w:uiPriority="0" w:semiHidden="0" w:name="Body Text Indent 2"/>
    <w:lsdException w:uiPriority="0" w:semiHidden="0" w:name="Body Text Indent 3"/>
    <w:lsdException w:uiPriority="0" w:semiHidden="0" w:name="Block Text"/>
    <w:lsdException w:qFormat="1" w:uiPriority="0" w:semiHidden="0" w:name="Hyperlink"/>
    <w:lsdException w:uiPriority="99" w:semiHidden="0" w:name="FollowedHyperlink"/>
    <w:lsdException w:qFormat="1" w:unhideWhenUsed="0" w:uiPriority="22" w:semiHidden="0" w:name="Strong"/>
    <w:lsdException w:qFormat="1" w:unhideWhenUsed="0" w:uiPriority="20" w:semiHidden="0" w:name="Emphasis"/>
    <w:lsdException w:uiPriority="0" w:semiHidden="0" w:name="Document Map"/>
    <w:lsdException w:uiPriority="99" w:name="Plain Text"/>
    <w:lsdException w:uiPriority="99" w:name="E-mail Signature"/>
    <w:lsdException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0" w:semiHidden="0" w:name="Balloon Text"/>
    <w:lsdException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35"/>
    <w:qFormat/>
    <w:uiPriority w:val="0"/>
    <w:pPr>
      <w:keepNext/>
      <w:spacing w:after="0" w:line="240" w:lineRule="auto"/>
      <w:ind w:firstLine="1134"/>
      <w:jc w:val="center"/>
      <w:outlineLvl w:val="0"/>
    </w:pPr>
    <w:rPr>
      <w:rFonts w:eastAsia="Times New Roman"/>
      <w:b/>
      <w:sz w:val="28"/>
      <w:szCs w:val="20"/>
      <w:lang w:val="zh-CN" w:eastAsia="zh-CN"/>
    </w:rPr>
  </w:style>
  <w:style w:type="paragraph" w:styleId="3">
    <w:name w:val="heading 2"/>
    <w:basedOn w:val="1"/>
    <w:next w:val="1"/>
    <w:link w:val="36"/>
    <w:semiHidden/>
    <w:unhideWhenUsed/>
    <w:qFormat/>
    <w:uiPriority w:val="0"/>
    <w:pPr>
      <w:keepNext/>
      <w:spacing w:after="0" w:line="240" w:lineRule="auto"/>
      <w:jc w:val="center"/>
      <w:outlineLvl w:val="1"/>
    </w:pPr>
    <w:rPr>
      <w:rFonts w:eastAsia="Times New Roman"/>
      <w:b/>
      <w:sz w:val="28"/>
      <w:szCs w:val="20"/>
      <w:lang w:val="zh-CN" w:eastAsia="zh-CN"/>
    </w:rPr>
  </w:style>
  <w:style w:type="paragraph" w:styleId="4">
    <w:name w:val="heading 3"/>
    <w:basedOn w:val="1"/>
    <w:next w:val="1"/>
    <w:link w:val="37"/>
    <w:semiHidden/>
    <w:unhideWhenUsed/>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38"/>
    <w:semiHidden/>
    <w:unhideWhenUsed/>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39"/>
    <w:semiHidden/>
    <w:unhideWhenUsed/>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40"/>
    <w:semiHidden/>
    <w:unhideWhenUsed/>
    <w:qFormat/>
    <w:uiPriority w:val="0"/>
    <w:pPr>
      <w:keepNext/>
      <w:widowControl w:val="0"/>
      <w:spacing w:after="0" w:line="240" w:lineRule="auto"/>
      <w:ind w:right="-289"/>
      <w:jc w:val="center"/>
      <w:outlineLvl w:val="5"/>
    </w:pPr>
    <w:rPr>
      <w:rFonts w:ascii="Arial" w:hAnsi="Arial" w:eastAsia="Times New Roman"/>
      <w:b/>
      <w:sz w:val="22"/>
      <w:szCs w:val="20"/>
      <w:lang w:val="zh-CN" w:eastAsia="zh-CN"/>
    </w:rPr>
  </w:style>
  <w:style w:type="paragraph" w:styleId="8">
    <w:name w:val="heading 7"/>
    <w:basedOn w:val="1"/>
    <w:next w:val="1"/>
    <w:link w:val="41"/>
    <w:semiHidden/>
    <w:unhideWhenUsed/>
    <w:qFormat/>
    <w:uiPriority w:val="0"/>
    <w:pPr>
      <w:keepNext/>
      <w:spacing w:after="0" w:line="240" w:lineRule="auto"/>
      <w:ind w:right="-289"/>
      <w:jc w:val="center"/>
      <w:outlineLvl w:val="6"/>
    </w:pPr>
    <w:rPr>
      <w:rFonts w:ascii="Arial" w:hAnsi="Arial" w:eastAsia="Times New Roman"/>
      <w:sz w:val="22"/>
      <w:szCs w:val="20"/>
      <w:u w:val="single"/>
      <w:lang w:val="zh-CN" w:eastAsia="zh-CN"/>
    </w:rPr>
  </w:style>
  <w:style w:type="paragraph" w:styleId="9">
    <w:name w:val="heading 8"/>
    <w:basedOn w:val="1"/>
    <w:next w:val="1"/>
    <w:link w:val="42"/>
    <w:semiHidden/>
    <w:unhideWhenUsed/>
    <w:qFormat/>
    <w:uiPriority w:val="0"/>
    <w:pPr>
      <w:keepNext/>
      <w:widowControl w:val="0"/>
      <w:spacing w:after="0" w:line="240" w:lineRule="auto"/>
      <w:ind w:left="-426" w:right="-289"/>
      <w:jc w:val="both"/>
      <w:outlineLvl w:val="7"/>
    </w:pPr>
    <w:rPr>
      <w:rFonts w:ascii="Arial" w:hAnsi="Arial" w:eastAsia="Times New Roman"/>
      <w:b/>
      <w:sz w:val="22"/>
      <w:szCs w:val="20"/>
      <w:lang w:val="zh-CN" w:eastAsia="zh-CN"/>
    </w:rPr>
  </w:style>
  <w:style w:type="paragraph" w:styleId="10">
    <w:name w:val="heading 9"/>
    <w:basedOn w:val="1"/>
    <w:next w:val="1"/>
    <w:link w:val="43"/>
    <w:semiHidden/>
    <w:unhideWhenUsed/>
    <w:qFormat/>
    <w:uiPriority w:val="0"/>
    <w:pPr>
      <w:keepNext/>
      <w:widowControl w:val="0"/>
      <w:spacing w:after="0" w:line="240" w:lineRule="auto"/>
      <w:ind w:left="-426" w:right="-289"/>
      <w:jc w:val="both"/>
      <w:outlineLvl w:val="8"/>
    </w:pPr>
    <w:rPr>
      <w:rFonts w:ascii="Arial" w:hAnsi="Arial" w:eastAsia="Times New Roman"/>
      <w:b/>
      <w:szCs w:val="20"/>
      <w:lang w:val="zh-CN" w:eastAsia="zh-CN"/>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uiPriority w:val="0"/>
    <w:rPr>
      <w:sz w:val="16"/>
      <w:szCs w:val="16"/>
    </w:rPr>
  </w:style>
  <w:style w:type="character" w:styleId="14">
    <w:name w:val="FollowedHyperlink"/>
    <w:unhideWhenUsed/>
    <w:uiPriority w:val="99"/>
    <w:rPr>
      <w:color w:val="800080"/>
      <w:u w:val="single"/>
    </w:rPr>
  </w:style>
  <w:style w:type="character" w:styleId="15">
    <w:name w:val="Hyperlink"/>
    <w:unhideWhenUsed/>
    <w:qFormat/>
    <w:uiPriority w:val="0"/>
    <w:rPr>
      <w:color w:val="0000FF"/>
      <w:u w:val="single"/>
    </w:rPr>
  </w:style>
  <w:style w:type="character" w:styleId="16">
    <w:name w:val="page number"/>
    <w:basedOn w:val="11"/>
    <w:uiPriority w:val="0"/>
  </w:style>
  <w:style w:type="paragraph" w:styleId="17">
    <w:name w:val="Body Text"/>
    <w:basedOn w:val="1"/>
    <w:link w:val="50"/>
    <w:unhideWhenUsed/>
    <w:uiPriority w:val="0"/>
    <w:pPr>
      <w:widowControl w:val="0"/>
      <w:spacing w:after="0" w:line="240" w:lineRule="auto"/>
      <w:ind w:right="-1"/>
      <w:jc w:val="both"/>
    </w:pPr>
    <w:rPr>
      <w:rFonts w:ascii="Arial" w:hAnsi="Arial" w:eastAsia="Times New Roman"/>
      <w:sz w:val="22"/>
      <w:szCs w:val="20"/>
      <w:lang w:val="zh-CN" w:eastAsia="zh-CN"/>
    </w:rPr>
  </w:style>
  <w:style w:type="paragraph" w:styleId="18">
    <w:name w:val="Block Text"/>
    <w:basedOn w:val="1"/>
    <w:unhideWhenUsed/>
    <w:uiPriority w:val="0"/>
    <w:pPr>
      <w:spacing w:after="0" w:line="240" w:lineRule="auto"/>
      <w:ind w:left="-567" w:right="-765"/>
      <w:jc w:val="both"/>
    </w:pPr>
    <w:rPr>
      <w:rFonts w:ascii="Arial" w:hAnsi="Arial" w:eastAsia="Times New Roman"/>
      <w:sz w:val="22"/>
      <w:szCs w:val="20"/>
      <w:lang w:eastAsia="pt-BR"/>
    </w:rPr>
  </w:style>
  <w:style w:type="paragraph" w:styleId="19">
    <w:name w:val="annotation text"/>
    <w:basedOn w:val="1"/>
    <w:link w:val="60"/>
    <w:uiPriority w:val="0"/>
    <w:pPr>
      <w:overflowPunct w:val="0"/>
      <w:autoSpaceDE w:val="0"/>
      <w:autoSpaceDN w:val="0"/>
      <w:adjustRightInd w:val="0"/>
      <w:spacing w:after="0" w:line="240" w:lineRule="auto"/>
      <w:textAlignment w:val="baseline"/>
    </w:pPr>
    <w:rPr>
      <w:rFonts w:eastAsia="Times New Roman"/>
      <w:szCs w:val="20"/>
      <w:lang w:eastAsia="pt-BR"/>
    </w:rPr>
  </w:style>
  <w:style w:type="paragraph" w:styleId="20">
    <w:name w:val="Body Text Indent 2"/>
    <w:basedOn w:val="1"/>
    <w:link w:val="55"/>
    <w:unhideWhenUsed/>
    <w:uiPriority w:val="0"/>
    <w:pPr>
      <w:overflowPunct w:val="0"/>
      <w:autoSpaceDE w:val="0"/>
      <w:autoSpaceDN w:val="0"/>
      <w:adjustRightInd w:val="0"/>
      <w:spacing w:after="0" w:line="240" w:lineRule="auto"/>
      <w:ind w:left="705" w:hanging="705"/>
      <w:jc w:val="both"/>
    </w:pPr>
    <w:rPr>
      <w:rFonts w:ascii="Arial" w:hAnsi="Arial" w:eastAsia="Times New Roman"/>
      <w:sz w:val="23"/>
      <w:szCs w:val="20"/>
      <w:lang w:val="zh-CN" w:eastAsia="zh-CN"/>
    </w:rPr>
  </w:style>
  <w:style w:type="paragraph" w:styleId="21">
    <w:name w:val="Title"/>
    <w:basedOn w:val="1"/>
    <w:link w:val="49"/>
    <w:qFormat/>
    <w:uiPriority w:val="0"/>
    <w:pPr>
      <w:spacing w:after="0" w:line="240" w:lineRule="auto"/>
      <w:jc w:val="center"/>
    </w:pPr>
    <w:rPr>
      <w:rFonts w:ascii="Arial" w:hAnsi="Arial" w:eastAsia="Times New Roman"/>
      <w:b/>
      <w:bCs/>
      <w:color w:val="000000"/>
      <w:sz w:val="24"/>
      <w:szCs w:val="27"/>
      <w:lang w:val="zh-CN" w:eastAsia="zh-CN"/>
    </w:rPr>
  </w:style>
  <w:style w:type="paragraph" w:styleId="22">
    <w:name w:val="Normal (Web)"/>
    <w:basedOn w:val="1"/>
    <w:unhideWhenUsed/>
    <w:uiPriority w:val="0"/>
    <w:pPr>
      <w:spacing w:before="100" w:beforeAutospacing="1" w:after="100" w:afterAutospacing="1" w:line="240" w:lineRule="auto"/>
    </w:pPr>
    <w:rPr>
      <w:rFonts w:ascii="Arial Unicode MS" w:hAnsi="Arial Unicode MS" w:eastAsia="Times New Roman"/>
      <w:sz w:val="24"/>
      <w:szCs w:val="24"/>
      <w:lang w:eastAsia="pt-BR"/>
    </w:rPr>
  </w:style>
  <w:style w:type="paragraph" w:styleId="23">
    <w:name w:val="Body Text 3"/>
    <w:basedOn w:val="1"/>
    <w:link w:val="54"/>
    <w:unhideWhenUsed/>
    <w:uiPriority w:val="0"/>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24">
    <w:name w:val="Body Text 2"/>
    <w:basedOn w:val="1"/>
    <w:link w:val="53"/>
    <w:unhideWhenUsed/>
    <w:uiPriority w:val="0"/>
    <w:pPr>
      <w:overflowPunct w:val="0"/>
      <w:autoSpaceDE w:val="0"/>
      <w:autoSpaceDN w:val="0"/>
      <w:adjustRightInd w:val="0"/>
      <w:spacing w:after="0" w:line="240" w:lineRule="auto"/>
      <w:ind w:right="-241"/>
      <w:jc w:val="both"/>
    </w:pPr>
    <w:rPr>
      <w:rFonts w:ascii="Arial" w:hAnsi="Arial" w:eastAsia="Times New Roman"/>
      <w:sz w:val="21"/>
      <w:szCs w:val="20"/>
      <w:lang w:val="zh-CN" w:eastAsia="zh-CN"/>
    </w:rPr>
  </w:style>
  <w:style w:type="paragraph" w:styleId="25">
    <w:name w:val="header"/>
    <w:basedOn w:val="1"/>
    <w:link w:val="45"/>
    <w:unhideWhenUsed/>
    <w:uiPriority w:val="0"/>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26">
    <w:name w:val="annotation subject"/>
    <w:basedOn w:val="19"/>
    <w:next w:val="19"/>
    <w:link w:val="61"/>
    <w:uiPriority w:val="0"/>
    <w:rPr>
      <w:b/>
      <w:bCs/>
    </w:rPr>
  </w:style>
  <w:style w:type="paragraph" w:styleId="27">
    <w:name w:val="footer"/>
    <w:basedOn w:val="1"/>
    <w:link w:val="44"/>
    <w:uiPriority w:val="99"/>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28">
    <w:name w:val="Document Map"/>
    <w:basedOn w:val="1"/>
    <w:link w:val="57"/>
    <w:unhideWhenUsed/>
    <w:uiPriority w:val="0"/>
    <w:pPr>
      <w:shd w:val="clear" w:color="auto" w:fill="000080"/>
      <w:overflowPunct w:val="0"/>
      <w:autoSpaceDE w:val="0"/>
      <w:autoSpaceDN w:val="0"/>
      <w:adjustRightInd w:val="0"/>
      <w:spacing w:after="0" w:line="240" w:lineRule="auto"/>
    </w:pPr>
    <w:rPr>
      <w:rFonts w:ascii="Tahoma" w:hAnsi="Tahoma" w:eastAsia="Times New Roman"/>
      <w:szCs w:val="20"/>
      <w:lang w:val="zh-CN" w:eastAsia="zh-CN"/>
    </w:rPr>
  </w:style>
  <w:style w:type="paragraph" w:styleId="29">
    <w:name w:val="caption"/>
    <w:basedOn w:val="1"/>
    <w:next w:val="1"/>
    <w:semiHidden/>
    <w:unhideWhenUsed/>
    <w:qFormat/>
    <w:uiPriority w:val="0"/>
    <w:pPr>
      <w:spacing w:after="0" w:line="240" w:lineRule="auto"/>
      <w:jc w:val="center"/>
    </w:pPr>
    <w:rPr>
      <w:rFonts w:eastAsia="Times New Roman"/>
      <w:b/>
      <w:color w:val="FF0000"/>
      <w:sz w:val="24"/>
      <w:szCs w:val="20"/>
      <w:lang w:eastAsia="pt-BR"/>
    </w:rPr>
  </w:style>
  <w:style w:type="paragraph" w:styleId="30">
    <w:name w:val="Body Text Indent 3"/>
    <w:basedOn w:val="1"/>
    <w:link w:val="56"/>
    <w:unhideWhenUsed/>
    <w:uiPriority w:val="0"/>
    <w:pPr>
      <w:overflowPunct w:val="0"/>
      <w:autoSpaceDE w:val="0"/>
      <w:autoSpaceDN w:val="0"/>
      <w:adjustRightInd w:val="0"/>
      <w:spacing w:after="0" w:line="240" w:lineRule="auto"/>
      <w:ind w:left="708"/>
      <w:jc w:val="both"/>
    </w:pPr>
    <w:rPr>
      <w:rFonts w:ascii="Arial" w:hAnsi="Arial" w:eastAsia="Times New Roman"/>
      <w:i/>
      <w:iCs/>
      <w:sz w:val="23"/>
      <w:szCs w:val="20"/>
      <w:lang w:val="zh-CN" w:eastAsia="zh-CN"/>
    </w:rPr>
  </w:style>
  <w:style w:type="paragraph" w:styleId="31">
    <w:name w:val="Balloon Text"/>
    <w:basedOn w:val="1"/>
    <w:link w:val="58"/>
    <w:unhideWhenUsed/>
    <w:uiPriority w:val="0"/>
    <w:pPr>
      <w:spacing w:after="0" w:line="240" w:lineRule="auto"/>
    </w:pPr>
    <w:rPr>
      <w:rFonts w:ascii="Tahoma" w:hAnsi="Tahoma" w:eastAsia="Times New Roman"/>
      <w:sz w:val="16"/>
      <w:szCs w:val="16"/>
      <w:lang w:val="zh-CN" w:eastAsia="zh-CN"/>
    </w:rPr>
  </w:style>
  <w:style w:type="paragraph" w:styleId="32">
    <w:name w:val="Subtitle"/>
    <w:basedOn w:val="1"/>
    <w:link w:val="52"/>
    <w:qFormat/>
    <w:uiPriority w:val="0"/>
    <w:pPr>
      <w:widowControl w:val="0"/>
      <w:spacing w:after="0" w:line="240" w:lineRule="auto"/>
      <w:jc w:val="center"/>
    </w:pPr>
    <w:rPr>
      <w:rFonts w:eastAsia="Times New Roman"/>
      <w:sz w:val="28"/>
      <w:szCs w:val="20"/>
      <w:lang w:val="zh-CN" w:eastAsia="zh-CN"/>
    </w:rPr>
  </w:style>
  <w:style w:type="paragraph" w:styleId="33">
    <w:name w:val="Body Text Indent"/>
    <w:basedOn w:val="1"/>
    <w:link w:val="51"/>
    <w:unhideWhenUsed/>
    <w:uiPriority w:val="0"/>
    <w:pPr>
      <w:snapToGrid w:val="0"/>
      <w:spacing w:after="0" w:line="240" w:lineRule="auto"/>
      <w:jc w:val="both"/>
    </w:pPr>
    <w:rPr>
      <w:rFonts w:eastAsia="Times New Roman"/>
      <w:sz w:val="22"/>
      <w:szCs w:val="20"/>
      <w:lang w:val="zh-CN" w:eastAsia="zh-CN"/>
    </w:rPr>
  </w:style>
  <w:style w:type="table" w:styleId="34">
    <w:name w:val="Table Grid"/>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Título 1 Char"/>
    <w:basedOn w:val="11"/>
    <w:link w:val="2"/>
    <w:qFormat/>
    <w:uiPriority w:val="0"/>
    <w:rPr>
      <w:rFonts w:ascii="Times New Roman" w:hAnsi="Times New Roman" w:eastAsia="Times New Roman" w:cs="Times New Roman"/>
      <w:b/>
      <w:sz w:val="28"/>
      <w:szCs w:val="20"/>
      <w:lang w:val="zh-CN" w:eastAsia="zh-CN"/>
    </w:rPr>
  </w:style>
  <w:style w:type="character" w:customStyle="1" w:styleId="36">
    <w:name w:val="Título 2 Char"/>
    <w:basedOn w:val="11"/>
    <w:link w:val="3"/>
    <w:semiHidden/>
    <w:qFormat/>
    <w:uiPriority w:val="0"/>
    <w:rPr>
      <w:rFonts w:ascii="Times New Roman" w:hAnsi="Times New Roman" w:eastAsia="Times New Roman" w:cs="Times New Roman"/>
      <w:b/>
      <w:sz w:val="28"/>
      <w:szCs w:val="20"/>
      <w:lang w:val="zh-CN" w:eastAsia="zh-CN"/>
    </w:rPr>
  </w:style>
  <w:style w:type="character" w:customStyle="1" w:styleId="37">
    <w:name w:val="Título 3 Char"/>
    <w:basedOn w:val="11"/>
    <w:link w:val="4"/>
    <w:semiHidden/>
    <w:uiPriority w:val="0"/>
    <w:rPr>
      <w:rFonts w:ascii="Arial" w:hAnsi="Arial" w:eastAsia="Times New Roman" w:cs="Times New Roman"/>
      <w:b/>
      <w:color w:val="FF0000"/>
      <w:szCs w:val="20"/>
      <w:lang w:val="zh-CN" w:eastAsia="zh-CN"/>
    </w:rPr>
  </w:style>
  <w:style w:type="character" w:customStyle="1" w:styleId="38">
    <w:name w:val="Título 4 Char"/>
    <w:basedOn w:val="11"/>
    <w:link w:val="5"/>
    <w:semiHidden/>
    <w:uiPriority w:val="0"/>
    <w:rPr>
      <w:rFonts w:ascii="Arial" w:hAnsi="Arial" w:eastAsia="Times New Roman" w:cs="Times New Roman"/>
      <w:b/>
      <w:szCs w:val="20"/>
      <w:lang w:val="zh-CN" w:eastAsia="zh-CN"/>
    </w:rPr>
  </w:style>
  <w:style w:type="character" w:customStyle="1" w:styleId="39">
    <w:name w:val="Título 5 Char"/>
    <w:basedOn w:val="11"/>
    <w:link w:val="6"/>
    <w:semiHidden/>
    <w:uiPriority w:val="0"/>
    <w:rPr>
      <w:rFonts w:ascii="Arial" w:hAnsi="Arial" w:eastAsia="Times New Roman" w:cs="Times New Roman"/>
      <w:b/>
      <w:szCs w:val="20"/>
      <w:lang w:val="zh-CN" w:eastAsia="zh-CN"/>
    </w:rPr>
  </w:style>
  <w:style w:type="character" w:customStyle="1" w:styleId="40">
    <w:name w:val="Título 6 Char"/>
    <w:basedOn w:val="11"/>
    <w:link w:val="7"/>
    <w:semiHidden/>
    <w:uiPriority w:val="0"/>
    <w:rPr>
      <w:rFonts w:ascii="Arial" w:hAnsi="Arial" w:eastAsia="Times New Roman" w:cs="Times New Roman"/>
      <w:b/>
      <w:szCs w:val="20"/>
      <w:lang w:val="zh-CN" w:eastAsia="zh-CN"/>
    </w:rPr>
  </w:style>
  <w:style w:type="character" w:customStyle="1" w:styleId="41">
    <w:name w:val="Título 7 Char"/>
    <w:basedOn w:val="11"/>
    <w:link w:val="8"/>
    <w:semiHidden/>
    <w:uiPriority w:val="0"/>
    <w:rPr>
      <w:rFonts w:ascii="Arial" w:hAnsi="Arial" w:eastAsia="Times New Roman" w:cs="Times New Roman"/>
      <w:szCs w:val="20"/>
      <w:u w:val="single"/>
      <w:lang w:val="zh-CN" w:eastAsia="zh-CN"/>
    </w:rPr>
  </w:style>
  <w:style w:type="character" w:customStyle="1" w:styleId="42">
    <w:name w:val="Título 8 Char"/>
    <w:basedOn w:val="11"/>
    <w:link w:val="9"/>
    <w:semiHidden/>
    <w:uiPriority w:val="0"/>
    <w:rPr>
      <w:rFonts w:ascii="Arial" w:hAnsi="Arial" w:eastAsia="Times New Roman" w:cs="Times New Roman"/>
      <w:b/>
      <w:szCs w:val="20"/>
      <w:lang w:val="zh-CN" w:eastAsia="zh-CN"/>
    </w:rPr>
  </w:style>
  <w:style w:type="character" w:customStyle="1" w:styleId="43">
    <w:name w:val="Título 9 Char"/>
    <w:basedOn w:val="11"/>
    <w:link w:val="10"/>
    <w:semiHidden/>
    <w:uiPriority w:val="0"/>
    <w:rPr>
      <w:rFonts w:ascii="Arial" w:hAnsi="Arial" w:eastAsia="Times New Roman" w:cs="Times New Roman"/>
      <w:b/>
      <w:sz w:val="20"/>
      <w:szCs w:val="20"/>
      <w:lang w:val="zh-CN" w:eastAsia="zh-CN"/>
    </w:rPr>
  </w:style>
  <w:style w:type="character" w:customStyle="1" w:styleId="44">
    <w:name w:val="Rodapé Char"/>
    <w:basedOn w:val="11"/>
    <w:link w:val="27"/>
    <w:uiPriority w:val="99"/>
    <w:rPr>
      <w:rFonts w:ascii="Times New Roman" w:hAnsi="Times New Roman" w:eastAsia="Times New Roman" w:cs="Times New Roman"/>
      <w:sz w:val="20"/>
      <w:szCs w:val="20"/>
      <w:lang w:eastAsia="pt-BR"/>
    </w:rPr>
  </w:style>
  <w:style w:type="character" w:customStyle="1" w:styleId="45">
    <w:name w:val="Cabeçalho Char"/>
    <w:basedOn w:val="11"/>
    <w:link w:val="25"/>
    <w:qFormat/>
    <w:uiPriority w:val="0"/>
    <w:rPr>
      <w:rFonts w:ascii="Times New Roman" w:hAnsi="Times New Roman" w:eastAsia="Times New Roman" w:cs="Times New Roman"/>
      <w:sz w:val="20"/>
      <w:szCs w:val="20"/>
      <w:lang w:eastAsia="pt-BR"/>
    </w:rPr>
  </w:style>
  <w:style w:type="paragraph" w:styleId="46">
    <w:name w:val="List Paragraph"/>
    <w:basedOn w:val="1"/>
    <w:qFormat/>
    <w:uiPriority w:val="34"/>
    <w:pPr>
      <w:ind w:left="720"/>
      <w:contextualSpacing/>
    </w:pPr>
    <w:rPr>
      <w:rFonts w:ascii="Calibri" w:hAnsi="Calibri" w:eastAsia="Calibri"/>
      <w:sz w:val="22"/>
    </w:rPr>
  </w:style>
  <w:style w:type="paragraph" w:customStyle="1" w:styleId="47">
    <w:name w:val="Default"/>
    <w:uiPriority w:val="0"/>
    <w:pPr>
      <w:autoSpaceDE w:val="0"/>
      <w:autoSpaceDN w:val="0"/>
      <w:adjustRightInd w:val="0"/>
      <w:spacing w:after="0" w:line="240" w:lineRule="auto"/>
    </w:pPr>
    <w:rPr>
      <w:rFonts w:ascii="Verdana" w:hAnsi="Verdana" w:eastAsia="Times New Roman" w:cs="Verdana"/>
      <w:color w:val="000000"/>
      <w:sz w:val="24"/>
      <w:szCs w:val="24"/>
      <w:lang w:val="pt-BR" w:eastAsia="pt-BR" w:bidi="ar-SA"/>
    </w:rPr>
  </w:style>
  <w:style w:type="paragraph" w:customStyle="1" w:styleId="48">
    <w:name w:val="Body Text 21"/>
    <w:basedOn w:val="1"/>
    <w:uiPriority w:val="0"/>
    <w:pPr>
      <w:suppressAutoHyphens/>
      <w:spacing w:after="0" w:line="240" w:lineRule="auto"/>
      <w:jc w:val="both"/>
    </w:pPr>
    <w:rPr>
      <w:rFonts w:eastAsia="Times New Roman"/>
      <w:sz w:val="24"/>
      <w:szCs w:val="20"/>
      <w:lang w:eastAsia="ar-SA"/>
    </w:rPr>
  </w:style>
  <w:style w:type="character" w:customStyle="1" w:styleId="49">
    <w:name w:val="Título Char"/>
    <w:basedOn w:val="11"/>
    <w:link w:val="21"/>
    <w:uiPriority w:val="0"/>
    <w:rPr>
      <w:rFonts w:ascii="Arial" w:hAnsi="Arial" w:eastAsia="Times New Roman" w:cs="Times New Roman"/>
      <w:b/>
      <w:bCs/>
      <w:color w:val="000000"/>
      <w:sz w:val="24"/>
      <w:szCs w:val="27"/>
      <w:lang w:val="zh-CN" w:eastAsia="zh-CN"/>
    </w:rPr>
  </w:style>
  <w:style w:type="character" w:customStyle="1" w:styleId="50">
    <w:name w:val="Corpo de texto Char"/>
    <w:basedOn w:val="11"/>
    <w:link w:val="17"/>
    <w:uiPriority w:val="0"/>
    <w:rPr>
      <w:rFonts w:ascii="Arial" w:hAnsi="Arial" w:eastAsia="Times New Roman" w:cs="Times New Roman"/>
      <w:szCs w:val="20"/>
      <w:lang w:val="zh-CN" w:eastAsia="zh-CN"/>
    </w:rPr>
  </w:style>
  <w:style w:type="character" w:customStyle="1" w:styleId="51">
    <w:name w:val="Recuo de corpo de texto Char"/>
    <w:basedOn w:val="11"/>
    <w:link w:val="33"/>
    <w:uiPriority w:val="0"/>
    <w:rPr>
      <w:rFonts w:ascii="Times New Roman" w:hAnsi="Times New Roman" w:eastAsia="Times New Roman" w:cs="Times New Roman"/>
      <w:szCs w:val="20"/>
      <w:lang w:val="zh-CN" w:eastAsia="zh-CN"/>
    </w:rPr>
  </w:style>
  <w:style w:type="character" w:customStyle="1" w:styleId="52">
    <w:name w:val="Subtítulo Char"/>
    <w:basedOn w:val="11"/>
    <w:link w:val="32"/>
    <w:uiPriority w:val="0"/>
    <w:rPr>
      <w:rFonts w:ascii="Times New Roman" w:hAnsi="Times New Roman" w:eastAsia="Times New Roman" w:cs="Times New Roman"/>
      <w:sz w:val="28"/>
      <w:szCs w:val="20"/>
      <w:lang w:val="zh-CN" w:eastAsia="zh-CN"/>
    </w:rPr>
  </w:style>
  <w:style w:type="character" w:customStyle="1" w:styleId="53">
    <w:name w:val="Corpo de texto 2 Char"/>
    <w:basedOn w:val="11"/>
    <w:link w:val="24"/>
    <w:uiPriority w:val="0"/>
    <w:rPr>
      <w:rFonts w:ascii="Arial" w:hAnsi="Arial" w:eastAsia="Times New Roman" w:cs="Times New Roman"/>
      <w:sz w:val="21"/>
      <w:szCs w:val="20"/>
      <w:lang w:val="zh-CN" w:eastAsia="zh-CN"/>
    </w:rPr>
  </w:style>
  <w:style w:type="character" w:customStyle="1" w:styleId="54">
    <w:name w:val="Corpo de texto 3 Char"/>
    <w:basedOn w:val="11"/>
    <w:link w:val="23"/>
    <w:uiPriority w:val="0"/>
    <w:rPr>
      <w:rFonts w:ascii="Times New Roman" w:hAnsi="Times New Roman" w:eastAsia="Times New Roman" w:cs="Times New Roman"/>
      <w:sz w:val="23"/>
      <w:szCs w:val="20"/>
      <w:lang w:val="zh-CN" w:eastAsia="zh-CN"/>
    </w:rPr>
  </w:style>
  <w:style w:type="character" w:customStyle="1" w:styleId="55">
    <w:name w:val="Recuo de corpo de texto 2 Char"/>
    <w:basedOn w:val="11"/>
    <w:link w:val="20"/>
    <w:uiPriority w:val="0"/>
    <w:rPr>
      <w:rFonts w:ascii="Arial" w:hAnsi="Arial" w:eastAsia="Times New Roman" w:cs="Times New Roman"/>
      <w:sz w:val="23"/>
      <w:szCs w:val="20"/>
      <w:lang w:val="zh-CN" w:eastAsia="zh-CN"/>
    </w:rPr>
  </w:style>
  <w:style w:type="character" w:customStyle="1" w:styleId="56">
    <w:name w:val="Recuo de corpo de texto 3 Char"/>
    <w:basedOn w:val="11"/>
    <w:link w:val="30"/>
    <w:uiPriority w:val="0"/>
    <w:rPr>
      <w:rFonts w:ascii="Arial" w:hAnsi="Arial" w:eastAsia="Times New Roman" w:cs="Times New Roman"/>
      <w:i/>
      <w:iCs/>
      <w:sz w:val="23"/>
      <w:szCs w:val="20"/>
      <w:lang w:val="zh-CN" w:eastAsia="zh-CN"/>
    </w:rPr>
  </w:style>
  <w:style w:type="character" w:customStyle="1" w:styleId="57">
    <w:name w:val="Mapa do Documento Char"/>
    <w:basedOn w:val="11"/>
    <w:link w:val="28"/>
    <w:uiPriority w:val="0"/>
    <w:rPr>
      <w:rFonts w:ascii="Tahoma" w:hAnsi="Tahoma" w:eastAsia="Times New Roman" w:cs="Times New Roman"/>
      <w:sz w:val="20"/>
      <w:szCs w:val="20"/>
      <w:shd w:val="clear" w:color="auto" w:fill="000080"/>
      <w:lang w:val="zh-CN" w:eastAsia="zh-CN"/>
    </w:rPr>
  </w:style>
  <w:style w:type="character" w:customStyle="1" w:styleId="58">
    <w:name w:val="Texto de balão Char"/>
    <w:basedOn w:val="11"/>
    <w:link w:val="31"/>
    <w:uiPriority w:val="0"/>
    <w:rPr>
      <w:rFonts w:ascii="Tahoma" w:hAnsi="Tahoma" w:eastAsia="Times New Roman" w:cs="Times New Roman"/>
      <w:sz w:val="16"/>
      <w:szCs w:val="16"/>
      <w:lang w:val="zh-CN" w:eastAsia="zh-CN"/>
    </w:rPr>
  </w:style>
  <w:style w:type="paragraph" w:customStyle="1" w:styleId="59">
    <w:name w:val="Parágrafo da Lista1"/>
    <w:basedOn w:val="1"/>
    <w:uiPriority w:val="0"/>
    <w:pPr>
      <w:ind w:left="720"/>
    </w:pPr>
    <w:rPr>
      <w:rFonts w:ascii="Calibri" w:hAnsi="Calibri" w:eastAsia="Times New Roman"/>
      <w:sz w:val="22"/>
    </w:rPr>
  </w:style>
  <w:style w:type="character" w:customStyle="1" w:styleId="60">
    <w:name w:val="Texto de comentário Char"/>
    <w:basedOn w:val="11"/>
    <w:link w:val="19"/>
    <w:uiPriority w:val="0"/>
    <w:rPr>
      <w:rFonts w:ascii="Times New Roman" w:hAnsi="Times New Roman" w:eastAsia="Times New Roman" w:cs="Times New Roman"/>
      <w:sz w:val="20"/>
      <w:szCs w:val="20"/>
      <w:lang w:eastAsia="pt-BR"/>
    </w:rPr>
  </w:style>
  <w:style w:type="character" w:customStyle="1" w:styleId="61">
    <w:name w:val="Assunto do comentário Char"/>
    <w:basedOn w:val="60"/>
    <w:link w:val="26"/>
    <w:uiPriority w:val="0"/>
    <w:rPr>
      <w:rFonts w:ascii="Times New Roman" w:hAnsi="Times New Roman" w:eastAsia="Times New Roman" w:cs="Times New Roman"/>
      <w:b/>
      <w:bCs/>
      <w:sz w:val="20"/>
      <w:szCs w:val="20"/>
      <w:lang w:eastAsia="pt-BR"/>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58</Pages>
  <Words>9910</Words>
  <Characters>53516</Characters>
  <Lines>445</Lines>
  <Paragraphs>126</Paragraphs>
  <TotalTime>18</TotalTime>
  <ScaleCrop>false</ScaleCrop>
  <LinksUpToDate>false</LinksUpToDate>
  <CharactersWithSpaces>63300</CharactersWithSpaces>
  <Application>WPS Office_11.2.0.10196_F1E327BC-269C-435d-A152-05C5408002CA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2021-07-07T19:42:02Z</cp:lastPrinted>
  <dcterms:modified xsi:type="dcterms:W3CDTF">2021-07-07T19:42:33Z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1046-11.2.0.10196</vt:lpwstr>
  </property>
</Properties>
</file>