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4"/>
          <w:szCs w:val="24"/>
        </w:rPr>
      </w:pPr>
    </w:p>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hint="default" w:eastAsia="Times New Roman"/>
          <w:b/>
          <w:bCs/>
          <w:color w:val="000000"/>
          <w:sz w:val="24"/>
          <w:szCs w:val="24"/>
          <w:lang w:val="pt-BR"/>
        </w:rPr>
        <w:t xml:space="preserve">3º </w:t>
      </w:r>
      <w:r>
        <w:rPr>
          <w:rFonts w:eastAsia="Times New Roman"/>
          <w:b/>
          <w:bCs/>
          <w:color w:val="000000"/>
          <w:sz w:val="24"/>
          <w:szCs w:val="24"/>
        </w:rPr>
        <w:t>EDITAL</w:t>
      </w:r>
    </w:p>
    <w:p>
      <w:pPr>
        <w:overflowPunct w:val="0"/>
        <w:autoSpaceDE w:val="0"/>
        <w:autoSpaceDN w:val="0"/>
        <w:adjustRightInd w:val="0"/>
        <w:spacing w:after="0" w:line="240" w:lineRule="auto"/>
        <w:textAlignment w:val="baseline"/>
        <w:rPr>
          <w:rFonts w:eastAsia="Times New Roman"/>
          <w:color w:val="000000"/>
          <w:sz w:val="24"/>
          <w:szCs w:val="24"/>
        </w:rPr>
      </w:pPr>
    </w:p>
    <w:p>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121/2021</w:t>
      </w: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68/2021</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pPr>
        <w:overflowPunct w:val="0"/>
        <w:autoSpaceDE w:val="0"/>
        <w:autoSpaceDN w:val="0"/>
        <w:adjustRightInd w:val="0"/>
        <w:spacing w:after="0" w:line="240" w:lineRule="auto"/>
        <w:textAlignment w:val="baseline"/>
        <w:rPr>
          <w:rFonts w:eastAsia="Times New Roman"/>
          <w:sz w:val="24"/>
          <w:szCs w:val="24"/>
        </w:rPr>
      </w:pPr>
    </w:p>
    <w:p>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xml:space="preserve">, sito na Praça Prefeito Euclides Antônio Fabris, nº 343, através do Sr. </w:t>
      </w:r>
      <w:r>
        <w:rPr>
          <w:rFonts w:eastAsia="Times New Roman"/>
          <w:b/>
          <w:bCs/>
          <w:color w:val="000000"/>
          <w:sz w:val="24"/>
          <w:szCs w:val="24"/>
          <w:u w:val="single"/>
          <w:lang w:eastAsia="pt-BR"/>
        </w:rPr>
        <w:t>Josemar Tomazelli</w:t>
      </w:r>
      <w:r>
        <w:rPr>
          <w:rFonts w:eastAsia="Times New Roman"/>
          <w:color w:val="000000"/>
          <w:sz w:val="24"/>
          <w:szCs w:val="24"/>
          <w:lang w:eastAsia="pt-BR"/>
        </w:rPr>
        <w:t>, Gerente de Finanças e Ordenador de Despesas conforme Decreto nº. 024/2021,</w:t>
      </w:r>
      <w:r>
        <w:rPr>
          <w:rFonts w:eastAsia="Times New Roman"/>
          <w:sz w:val="24"/>
          <w:szCs w:val="24"/>
          <w:lang w:eastAsia="pt-BR"/>
        </w:rPr>
        <w:t>torna público que a equipe de Pregoeir</w:t>
      </w:r>
      <w:r>
        <w:rPr>
          <w:rFonts w:hint="default" w:eastAsia="Times New Roman"/>
          <w:sz w:val="24"/>
          <w:szCs w:val="24"/>
          <w:lang w:val="en-US" w:eastAsia="pt-BR"/>
        </w:rPr>
        <w:t>a</w:t>
      </w:r>
      <w:r>
        <w:rPr>
          <w:rFonts w:eastAsia="Times New Roman"/>
          <w:sz w:val="24"/>
          <w:szCs w:val="24"/>
          <w:lang w:eastAsia="pt-BR"/>
        </w:rPr>
        <w:t xml:space="preserve">s instituída pelas Portarias nº. </w:t>
      </w:r>
      <w:r>
        <w:rPr>
          <w:rFonts w:hint="default" w:eastAsia="Times New Roman"/>
          <w:sz w:val="24"/>
          <w:szCs w:val="24"/>
          <w:lang w:val="en-US" w:eastAsia="pt-BR"/>
        </w:rPr>
        <w:t xml:space="preserve">388, 389 e 390 de 16 de julho de 2021, </w:t>
      </w:r>
      <w:r>
        <w:rPr>
          <w:rFonts w:eastAsia="Times New Roman"/>
          <w:sz w:val="24"/>
          <w:szCs w:val="24"/>
          <w:lang w:eastAsia="pt-BR"/>
        </w:rPr>
        <w:t xml:space="preserve"> estarão reunida com sua equipe de apoio,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spacing w:after="0" w:line="240" w:lineRule="auto"/>
        <w:jc w:val="both"/>
        <w:rPr>
          <w:rFonts w:eastAsia="Times New Roman"/>
          <w:sz w:val="24"/>
          <w:szCs w:val="24"/>
          <w:lang w:eastAsia="pt-BR"/>
        </w:rPr>
      </w:pPr>
    </w:p>
    <w:p>
      <w:pPr>
        <w:spacing w:after="0" w:line="240" w:lineRule="auto"/>
        <w:jc w:val="both"/>
        <w:rPr>
          <w:rFonts w:hint="default" w:eastAsia="Times New Roman"/>
          <w:snapToGrid w:val="0"/>
          <w:sz w:val="24"/>
          <w:szCs w:val="24"/>
          <w:lang w:val="en-US"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Pr>
          <w:rFonts w:hint="default" w:eastAsia="Times New Roman"/>
          <w:b/>
          <w:bCs/>
          <w:snapToGrid w:val="0"/>
          <w:sz w:val="24"/>
          <w:szCs w:val="24"/>
          <w:lang w:val="en-US" w:eastAsia="pt-BR"/>
        </w:rPr>
        <w:t>14</w:t>
      </w:r>
      <w:r>
        <w:rPr>
          <w:rFonts w:hint="default" w:eastAsia="Times New Roman"/>
          <w:b/>
          <w:bCs/>
          <w:snapToGrid w:val="0"/>
          <w:sz w:val="24"/>
          <w:szCs w:val="24"/>
          <w:highlight w:val="none"/>
          <w:lang w:val="en-US" w:eastAsia="pt-BR"/>
        </w:rPr>
        <w:t>h</w:t>
      </w:r>
      <w:r>
        <w:rPr>
          <w:rFonts w:eastAsia="Times New Roman"/>
          <w:b/>
          <w:bCs/>
          <w:snapToGrid w:val="0"/>
          <w:sz w:val="24"/>
          <w:szCs w:val="24"/>
          <w:highlight w:val="none"/>
          <w:lang w:eastAsia="pt-BR"/>
        </w:rPr>
        <w:t>00</w:t>
      </w:r>
      <w:r>
        <w:rPr>
          <w:rFonts w:hint="default" w:eastAsia="Times New Roman"/>
          <w:b/>
          <w:bCs/>
          <w:snapToGrid w:val="0"/>
          <w:sz w:val="24"/>
          <w:szCs w:val="24"/>
          <w:highlight w:val="none"/>
          <w:lang w:val="en-US" w:eastAsia="pt-BR"/>
        </w:rPr>
        <w:t>min</w:t>
      </w:r>
      <w:r>
        <w:rPr>
          <w:rFonts w:eastAsia="Times New Roman"/>
          <w:b/>
          <w:bCs/>
          <w:snapToGrid w:val="0"/>
          <w:sz w:val="24"/>
          <w:szCs w:val="24"/>
          <w:highlight w:val="none"/>
          <w:lang w:eastAsia="pt-BR"/>
        </w:rPr>
        <w:t xml:space="preserve"> do dia </w:t>
      </w:r>
      <w:r>
        <w:rPr>
          <w:rFonts w:hint="default" w:eastAsia="Times New Roman"/>
          <w:b/>
          <w:bCs/>
          <w:snapToGrid w:val="0"/>
          <w:sz w:val="24"/>
          <w:szCs w:val="24"/>
          <w:highlight w:val="none"/>
          <w:lang w:val="en-US" w:eastAsia="pt-BR"/>
        </w:rPr>
        <w:t>13 de agosto de 2021.</w:t>
      </w:r>
    </w:p>
    <w:p>
      <w:pPr>
        <w:spacing w:after="0" w:line="240" w:lineRule="auto"/>
        <w:jc w:val="both"/>
        <w:rPr>
          <w:rFonts w:eastAsia="Times New Roman"/>
          <w:snapToGrid w:val="0"/>
          <w:sz w:val="24"/>
          <w:szCs w:val="24"/>
          <w:lang w:eastAsia="pt-BR"/>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PREÇOS OBJETIVANDO A CONTRATAÇÃO FUTURA DE EMPRESA ESPECIALIZADA EM REPARAÇÃO DE ARTIGOS MOBILIÁRIOS E REFORMA DE ESTOFADOS, CONFORME TERMO DE REFERÊNCIA PARA ATENDER A GERÊNCIA DE SAÚDE DO MUNICIPAL DE NAVIRAÍ/MS. PEDIDOS DE SERVIÇO Nº 178/2021, 179/2021, 180/2021, 181/2021.</w:t>
      </w:r>
    </w:p>
    <w:p>
      <w:pPr>
        <w:overflowPunct w:val="0"/>
        <w:autoSpaceDE w:val="0"/>
        <w:autoSpaceDN w:val="0"/>
        <w:adjustRightInd w:val="0"/>
        <w:spacing w:after="0" w:line="240" w:lineRule="auto"/>
        <w:jc w:val="both"/>
        <w:textAlignment w:val="baseline"/>
        <w:rPr>
          <w:rFonts w:eastAsia="Times New Roman"/>
          <w:b/>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xml:space="preserve">: </w:t>
      </w:r>
      <w:r>
        <w:rPr>
          <w:rFonts w:hint="default" w:eastAsia="Times New Roman"/>
          <w:b/>
          <w:sz w:val="24"/>
          <w:szCs w:val="24"/>
          <w:lang w:val="pt-BR"/>
        </w:rPr>
        <w:t>13</w:t>
      </w:r>
      <w:r>
        <w:rPr>
          <w:rFonts w:eastAsia="Times New Roman"/>
          <w:b/>
          <w:sz w:val="24"/>
          <w:szCs w:val="24"/>
        </w:rPr>
        <w:t>/0</w:t>
      </w:r>
      <w:r>
        <w:rPr>
          <w:rFonts w:hint="default" w:eastAsia="Times New Roman"/>
          <w:b/>
          <w:sz w:val="24"/>
          <w:szCs w:val="24"/>
          <w:lang w:val="pt-BR"/>
        </w:rPr>
        <w:t>8</w:t>
      </w:r>
      <w:r>
        <w:rPr>
          <w:rFonts w:eastAsia="Times New Roman"/>
          <w:b/>
          <w:sz w:val="24"/>
          <w:szCs w:val="24"/>
        </w:rPr>
        <w:t>/2</w:t>
      </w:r>
      <w:r>
        <w:rPr>
          <w:rFonts w:hint="default" w:eastAsia="Times New Roman"/>
          <w:b/>
          <w:sz w:val="24"/>
          <w:szCs w:val="24"/>
          <w:lang w:val="pt-BR"/>
        </w:rPr>
        <w:t>02</w:t>
      </w:r>
      <w:r>
        <w:rPr>
          <w:rFonts w:eastAsia="Times New Roman"/>
          <w:b/>
          <w:sz w:val="24"/>
          <w:szCs w:val="24"/>
        </w:rPr>
        <w:t>1</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HORA: </w:t>
      </w:r>
      <w:r>
        <w:rPr>
          <w:rFonts w:hint="default" w:eastAsia="Times New Roman"/>
          <w:b/>
          <w:bCs/>
          <w:sz w:val="24"/>
          <w:szCs w:val="24"/>
          <w:lang w:val="pt-BR"/>
        </w:rPr>
        <w:t>14</w:t>
      </w:r>
      <w:r>
        <w:rPr>
          <w:rFonts w:hint="default" w:eastAsia="Times New Roman"/>
          <w:b/>
          <w:sz w:val="24"/>
          <w:szCs w:val="24"/>
          <w:lang w:val="pt-BR"/>
        </w:rPr>
        <w:t>h</w:t>
      </w:r>
      <w:r>
        <w:rPr>
          <w:rFonts w:eastAsia="Times New Roman"/>
          <w:b/>
          <w:sz w:val="24"/>
          <w:szCs w:val="24"/>
        </w:rPr>
        <w:t>00</w:t>
      </w:r>
      <w:r>
        <w:rPr>
          <w:rFonts w:hint="default" w:eastAsia="Times New Roman"/>
          <w:b/>
          <w:sz w:val="24"/>
          <w:szCs w:val="24"/>
          <w:lang w:val="pt-BR"/>
        </w:rPr>
        <w:t>min</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pPr>
        <w:overflowPunct w:val="0"/>
        <w:autoSpaceDE w:val="0"/>
        <w:autoSpaceDN w:val="0"/>
        <w:adjustRightInd w:val="0"/>
        <w:spacing w:after="0" w:line="240" w:lineRule="auto"/>
        <w:jc w:val="both"/>
        <w:textAlignment w:val="baseline"/>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Encontra-se sob falência ou concordata, concurso de credores, dissolução ou liquidação;</w:t>
      </w:r>
    </w:p>
    <w:p>
      <w:pPr>
        <w:tabs>
          <w:tab w:val="left" w:pos="1134"/>
        </w:tabs>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pPr>
        <w:overflowPunct w:val="0"/>
        <w:autoSpaceDE w:val="0"/>
        <w:autoSpaceDN w:val="0"/>
        <w:adjustRightInd w:val="0"/>
        <w:spacing w:after="0" w:line="240" w:lineRule="auto"/>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(ANEXO VII);</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4"/>
          <w:szCs w:val="24"/>
        </w:rPr>
      </w:pPr>
    </w:p>
    <w:p>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4"/>
          <w:szCs w:val="24"/>
        </w:rPr>
      </w:pPr>
    </w:p>
    <w:p>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não superior a 30 (trinta) dias da abertura da licitação.  (ANEXO VIII).</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5.5 </w:t>
      </w:r>
      <w:r>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o inicio da fase de credenciamento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6.1 </w:t>
      </w:r>
      <w:r>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 xml:space="preserve">PREGÃO PRESENCIAL Nº </w:t>
      </w:r>
      <w:r>
        <w:rPr>
          <w:rFonts w:hint="default" w:eastAsia="Times New Roman"/>
          <w:b/>
          <w:sz w:val="24"/>
          <w:szCs w:val="24"/>
          <w:lang w:val="en-US" w:eastAsia="pt-BR"/>
        </w:rPr>
        <w:t>0</w:t>
      </w:r>
      <w:r>
        <w:rPr>
          <w:rFonts w:eastAsia="Times New Roman"/>
          <w:b/>
          <w:sz w:val="24"/>
          <w:szCs w:val="24"/>
          <w:lang w:eastAsia="pt-BR"/>
        </w:rPr>
        <w:t>68/2021</w:t>
      </w:r>
      <w:r>
        <w:rPr>
          <w:rFonts w:eastAsia="Arial Unicode MS"/>
          <w:b/>
          <w:sz w:val="24"/>
          <w:szCs w:val="24"/>
          <w:lang w:eastAsia="pt-BR"/>
        </w:rPr>
        <w:t xml:space="preserve"> </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hint="default" w:eastAsia="Times New Roman"/>
          <w:b/>
          <w:bCs w:val="0"/>
          <w:sz w:val="24"/>
          <w:szCs w:val="24"/>
          <w:u w:val="single"/>
          <w:lang w:val="pt-BR"/>
        </w:rPr>
        <w:t>13</w:t>
      </w:r>
      <w:r>
        <w:rPr>
          <w:rFonts w:eastAsia="Times New Roman"/>
          <w:b/>
          <w:sz w:val="24"/>
          <w:szCs w:val="24"/>
          <w:u w:val="single"/>
        </w:rPr>
        <w:t>/0</w:t>
      </w:r>
      <w:r>
        <w:rPr>
          <w:rFonts w:hint="default" w:eastAsia="Times New Roman"/>
          <w:b/>
          <w:sz w:val="24"/>
          <w:szCs w:val="24"/>
          <w:u w:val="single"/>
          <w:lang w:val="pt-BR"/>
        </w:rPr>
        <w:t>8</w:t>
      </w:r>
      <w:r>
        <w:rPr>
          <w:rFonts w:eastAsia="Times New Roman"/>
          <w:b/>
          <w:sz w:val="24"/>
          <w:szCs w:val="24"/>
          <w:u w:val="single"/>
        </w:rPr>
        <w:t>/2</w:t>
      </w:r>
      <w:r>
        <w:rPr>
          <w:rFonts w:hint="default" w:eastAsia="Times New Roman"/>
          <w:b/>
          <w:sz w:val="24"/>
          <w:szCs w:val="24"/>
          <w:u w:val="single"/>
          <w:lang w:val="pt-BR"/>
        </w:rPr>
        <w:t>02</w:t>
      </w:r>
      <w:r>
        <w:rPr>
          <w:rFonts w:eastAsia="Times New Roman"/>
          <w:b/>
          <w:sz w:val="24"/>
          <w:szCs w:val="24"/>
          <w:u w:val="single"/>
        </w:rPr>
        <w:t>1</w:t>
      </w:r>
      <w:r>
        <w:rPr>
          <w:rFonts w:eastAsia="Times New Roman"/>
          <w:b/>
          <w:sz w:val="24"/>
          <w:szCs w:val="24"/>
        </w:rPr>
        <w:t xml:space="preserve"> </w:t>
      </w:r>
    </w:p>
    <w:p>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Pr>
          <w:rFonts w:eastAsia="Times New Roman"/>
          <w:b/>
          <w:sz w:val="24"/>
          <w:szCs w:val="24"/>
          <w:lang w:eastAsia="pt-BR"/>
        </w:rPr>
        <w:t xml:space="preserve">HORÁRIO: </w:t>
      </w:r>
      <w:r>
        <w:rPr>
          <w:rFonts w:hint="default" w:eastAsia="Times New Roman"/>
          <w:b/>
          <w:sz w:val="24"/>
          <w:szCs w:val="24"/>
          <w:lang w:val="en-US" w:eastAsia="pt-BR"/>
        </w:rPr>
        <w:t>14h</w:t>
      </w:r>
      <w:r>
        <w:rPr>
          <w:rFonts w:eastAsia="Times New Roman"/>
          <w:b/>
          <w:sz w:val="24"/>
          <w:szCs w:val="24"/>
          <w:lang w:eastAsia="pt-BR"/>
        </w:rPr>
        <w:t>00</w:t>
      </w:r>
      <w:r>
        <w:rPr>
          <w:rFonts w:hint="default" w:eastAsia="Times New Roman"/>
          <w:b/>
          <w:sz w:val="24"/>
          <w:szCs w:val="24"/>
          <w:lang w:val="en-US" w:eastAsia="pt-BR"/>
        </w:rPr>
        <w:t>min</w:t>
      </w:r>
      <w:r>
        <w:rPr>
          <w:rFonts w:eastAsia="Times New Roman"/>
          <w:b/>
          <w:sz w:val="24"/>
          <w:szCs w:val="24"/>
          <w:lang w:eastAsia="pt-BR"/>
        </w:rPr>
        <w:t>.</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 xml:space="preserve">PREGÃO PRESENCIAL Nº </w:t>
      </w:r>
      <w:r>
        <w:rPr>
          <w:rFonts w:hint="default" w:eastAsia="Times New Roman"/>
          <w:b/>
          <w:sz w:val="24"/>
          <w:szCs w:val="24"/>
          <w:lang w:val="en-US" w:eastAsia="pt-BR"/>
        </w:rPr>
        <w:t>0</w:t>
      </w:r>
      <w:r>
        <w:rPr>
          <w:rFonts w:eastAsia="Times New Roman"/>
          <w:b/>
          <w:sz w:val="24"/>
          <w:szCs w:val="24"/>
          <w:lang w:eastAsia="pt-BR"/>
        </w:rPr>
        <w:t>68/2021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hint="default" w:eastAsia="Times New Roman"/>
          <w:b/>
          <w:sz w:val="24"/>
          <w:szCs w:val="24"/>
          <w:u w:val="single"/>
          <w:lang w:val="pt-BR"/>
        </w:rPr>
        <w:t>13</w:t>
      </w:r>
      <w:r>
        <w:rPr>
          <w:rFonts w:eastAsia="Times New Roman"/>
          <w:b/>
          <w:sz w:val="24"/>
          <w:szCs w:val="24"/>
          <w:u w:val="single"/>
        </w:rPr>
        <w:t>/0</w:t>
      </w:r>
      <w:r>
        <w:rPr>
          <w:rFonts w:hint="default" w:eastAsia="Times New Roman"/>
          <w:b/>
          <w:sz w:val="24"/>
          <w:szCs w:val="24"/>
          <w:u w:val="single"/>
          <w:lang w:val="pt-BR"/>
        </w:rPr>
        <w:t>8</w:t>
      </w:r>
      <w:r>
        <w:rPr>
          <w:rFonts w:eastAsia="Times New Roman"/>
          <w:b/>
          <w:sz w:val="24"/>
          <w:szCs w:val="24"/>
          <w:u w:val="single"/>
        </w:rPr>
        <w:t>/2</w:t>
      </w:r>
      <w:r>
        <w:rPr>
          <w:rFonts w:hint="default" w:eastAsia="Times New Roman"/>
          <w:b/>
          <w:sz w:val="24"/>
          <w:szCs w:val="24"/>
          <w:u w:val="single"/>
          <w:lang w:val="pt-BR"/>
        </w:rPr>
        <w:t>02</w:t>
      </w:r>
      <w:r>
        <w:rPr>
          <w:rFonts w:eastAsia="Times New Roman"/>
          <w:b/>
          <w:sz w:val="24"/>
          <w:szCs w:val="24"/>
          <w:u w:val="single"/>
        </w:rPr>
        <w:t>1</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HORÁRIO: </w:t>
      </w:r>
      <w:r>
        <w:rPr>
          <w:rFonts w:hint="default" w:eastAsia="Times New Roman"/>
          <w:b/>
          <w:sz w:val="24"/>
          <w:szCs w:val="24"/>
          <w:lang w:val="pt-BR"/>
        </w:rPr>
        <w:t>14h</w:t>
      </w:r>
      <w:r>
        <w:rPr>
          <w:rFonts w:eastAsia="Times New Roman"/>
          <w:b/>
          <w:sz w:val="24"/>
          <w:szCs w:val="24"/>
        </w:rPr>
        <w:t>00</w:t>
      </w:r>
      <w:r>
        <w:rPr>
          <w:rFonts w:hint="default" w:eastAsia="Times New Roman"/>
          <w:b/>
          <w:sz w:val="24"/>
          <w:szCs w:val="24"/>
          <w:lang w:val="pt-BR"/>
        </w:rPr>
        <w:t>min</w:t>
      </w:r>
      <w:r>
        <w:rPr>
          <w:rFonts w:eastAsia="Times New Roman"/>
          <w:b/>
          <w:sz w:val="24"/>
          <w:szCs w:val="24"/>
        </w:rPr>
        <w:t>.</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 xml:space="preserve">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w:t>
      </w:r>
      <w:r>
        <w:rPr>
          <w:rFonts w:eastAsia="Times New Roman"/>
          <w:b w:val="0"/>
          <w:bCs w:val="0"/>
          <w:sz w:val="24"/>
          <w:szCs w:val="24"/>
          <w:lang w:eastAsia="pt-BR"/>
        </w:rPr>
        <w:t>07h às 1</w:t>
      </w:r>
      <w:r>
        <w:rPr>
          <w:rFonts w:hint="default" w:eastAsia="Times New Roman"/>
          <w:b w:val="0"/>
          <w:bCs w:val="0"/>
          <w:sz w:val="24"/>
          <w:szCs w:val="24"/>
          <w:lang w:val="en-US" w:eastAsia="pt-BR"/>
        </w:rPr>
        <w:t>1</w:t>
      </w:r>
      <w:r>
        <w:rPr>
          <w:rFonts w:eastAsia="Times New Roman"/>
          <w:b w:val="0"/>
          <w:bCs w:val="0"/>
          <w:sz w:val="24"/>
          <w:szCs w:val="24"/>
          <w:lang w:eastAsia="pt-BR"/>
        </w:rPr>
        <w:t>h</w:t>
      </w:r>
      <w:r>
        <w:rPr>
          <w:rFonts w:hint="default" w:eastAsia="Times New Roman"/>
          <w:b w:val="0"/>
          <w:bCs w:val="0"/>
          <w:sz w:val="24"/>
          <w:szCs w:val="24"/>
          <w:lang w:val="en-US" w:eastAsia="pt-BR"/>
        </w:rPr>
        <w:t xml:space="preserve"> das 13h às 17h</w:t>
      </w:r>
      <w:r>
        <w:rPr>
          <w:rFonts w:eastAsia="Times New Roman"/>
          <w:b w:val="0"/>
          <w:bCs w:val="0"/>
          <w:sz w:val="24"/>
          <w:szCs w:val="24"/>
          <w:lang w:eastAsia="pt-BR"/>
        </w:rPr>
        <w:t xml:space="preserve"> </w:t>
      </w:r>
      <w:r>
        <w:rPr>
          <w:rFonts w:eastAsia="Times New Roman"/>
          <w:sz w:val="24"/>
          <w:szCs w:val="24"/>
          <w:lang w:eastAsia="pt-BR"/>
        </w:rPr>
        <w:t>(horário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 xml:space="preserve">Não serão </w:t>
      </w:r>
      <w:r>
        <w:rPr>
          <w:rFonts w:eastAsia="Times New Roman"/>
          <w:sz w:val="24"/>
          <w:szCs w:val="24"/>
          <w:lang w:val="pt-BR"/>
        </w:rPr>
        <w:t>aceito</w:t>
      </w:r>
      <w:r>
        <w:rPr>
          <w:rFonts w:eastAsia="Times New Roman"/>
          <w:sz w:val="24"/>
          <w:szCs w:val="24"/>
        </w:rPr>
        <w:t xml:space="preserve">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7.4</w:t>
      </w:r>
      <w:r>
        <w:rPr>
          <w:rFonts w:eastAsia="Times New Roman"/>
          <w:sz w:val="24"/>
          <w:szCs w:val="24"/>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709"/>
        </w:tabs>
        <w:contextualSpacing/>
        <w:jc w:val="both"/>
        <w:textAlignment w:val="baseline"/>
        <w:rPr>
          <w:rFonts w:eastAsia="Times New Roman"/>
          <w:b/>
          <w:bCs/>
          <w:sz w:val="24"/>
          <w:szCs w:val="24"/>
        </w:rPr>
      </w:pPr>
      <w:r>
        <w:rPr>
          <w:rFonts w:eastAsia="Times New Roman"/>
          <w:b/>
          <w:bCs/>
          <w:sz w:val="24"/>
          <w:szCs w:val="24"/>
        </w:rPr>
        <w:t>7.1</w:t>
      </w:r>
      <w:r>
        <w:rPr>
          <w:rFonts w:hint="default" w:eastAsia="Times New Roman"/>
          <w:b/>
          <w:bCs/>
          <w:sz w:val="24"/>
          <w:szCs w:val="24"/>
          <w:lang w:val="pt-BR"/>
        </w:rPr>
        <w:t>1</w:t>
      </w:r>
      <w:r>
        <w:rPr>
          <w:rFonts w:eastAsia="Times New Roman"/>
          <w:b/>
          <w:bCs/>
          <w:sz w:val="24"/>
          <w:szCs w:val="24"/>
        </w:rPr>
        <w:t xml:space="preserve">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pPr>
        <w:tabs>
          <w:tab w:val="left" w:pos="0"/>
        </w:tabs>
        <w:contextualSpacing/>
        <w:jc w:val="both"/>
        <w:rPr>
          <w:rFonts w:eastAsia="Times New Roman"/>
          <w:sz w:val="24"/>
          <w:szCs w:val="24"/>
        </w:rPr>
      </w:pPr>
      <w:r>
        <w:rPr>
          <w:rFonts w:eastAsia="Times New Roman"/>
          <w:b/>
          <w:iCs/>
          <w:sz w:val="24"/>
          <w:szCs w:val="24"/>
        </w:rPr>
        <w:t>7.1</w:t>
      </w:r>
      <w:r>
        <w:rPr>
          <w:rFonts w:hint="default" w:eastAsia="Times New Roman"/>
          <w:b/>
          <w:iCs/>
          <w:sz w:val="24"/>
          <w:szCs w:val="24"/>
          <w:lang w:val="pt-BR"/>
        </w:rPr>
        <w:t>1</w:t>
      </w:r>
      <w:r>
        <w:rPr>
          <w:rFonts w:eastAsia="Times New Roman"/>
          <w:b/>
          <w:iCs/>
          <w:sz w:val="24"/>
          <w:szCs w:val="24"/>
        </w:rPr>
        <w:t>.1</w:t>
      </w:r>
      <w:r>
        <w:rPr>
          <w:rFonts w:eastAsia="Times New Roman"/>
          <w:iCs/>
          <w:sz w:val="24"/>
          <w:szCs w:val="24"/>
        </w:rPr>
        <w:t xml:space="preserve"> O valor total estimado para a aquisição dos itens referente ao objeto deste Edital, é de </w:t>
      </w:r>
      <w:r>
        <w:rPr>
          <w:rFonts w:eastAsia="Times New Roman"/>
          <w:b/>
          <w:bCs/>
          <w:iCs/>
          <w:sz w:val="24"/>
          <w:szCs w:val="24"/>
        </w:rPr>
        <w:t>R$ 132.750,</w:t>
      </w:r>
      <w:r>
        <w:rPr>
          <w:rFonts w:hint="default" w:eastAsia="Times New Roman"/>
          <w:b/>
          <w:bCs/>
          <w:iCs/>
          <w:sz w:val="24"/>
          <w:szCs w:val="24"/>
          <w:lang w:val="pt-BR"/>
        </w:rPr>
        <w:t>38</w:t>
      </w:r>
      <w:r>
        <w:rPr>
          <w:rFonts w:eastAsia="Times New Roman"/>
          <w:b/>
          <w:bCs/>
          <w:iCs/>
          <w:sz w:val="24"/>
          <w:szCs w:val="24"/>
        </w:rPr>
        <w:t xml:space="preserve"> (cento e trinta e dois mil setecentos e cinquenta reais e trinta e oito centavos).</w:t>
      </w:r>
    </w:p>
    <w:p>
      <w:pPr>
        <w:tabs>
          <w:tab w:val="left" w:pos="709"/>
        </w:tabs>
        <w:ind w:firstLine="6"/>
        <w:contextualSpacing/>
        <w:jc w:val="both"/>
        <w:rPr>
          <w:rFonts w:eastAsia="Times New Roman"/>
          <w:b/>
          <w:iCs/>
          <w:sz w:val="24"/>
          <w:szCs w:val="24"/>
        </w:rPr>
      </w:pPr>
    </w:p>
    <w:p>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iCs/>
          <w:sz w:val="24"/>
          <w:szCs w:val="24"/>
          <w:lang w:eastAsia="pt-BR"/>
        </w:rPr>
        <w:t>7.1</w:t>
      </w:r>
      <w:r>
        <w:rPr>
          <w:rFonts w:hint="default" w:eastAsia="Times New Roman"/>
          <w:iCs/>
          <w:sz w:val="24"/>
          <w:szCs w:val="24"/>
          <w:lang w:val="en-US" w:eastAsia="pt-BR"/>
        </w:rPr>
        <w:t>1</w:t>
      </w:r>
      <w:r>
        <w:rPr>
          <w:rFonts w:eastAsia="Times New Roman"/>
          <w:iCs/>
          <w:sz w:val="24"/>
          <w:szCs w:val="24"/>
          <w:lang w:eastAsia="pt-BR"/>
        </w:rPr>
        <w:t xml:space="preserve">.2 No entanto, caso o licitante queira conhecer os valores de cada item constante no edital, o mesmo deverá se dirigir até o Núcleo de Licitações e Contratos, </w:t>
      </w:r>
      <w:r>
        <w:rPr>
          <w:rFonts w:eastAsia="Times New Roman"/>
          <w:sz w:val="24"/>
          <w:szCs w:val="24"/>
          <w:lang w:eastAsia="pt-BR"/>
        </w:rPr>
        <w:t xml:space="preserve">situado na Praça Prefeito Euclides Antônio Fabris nº 343 - Centro, no horário das </w:t>
      </w:r>
      <w:r>
        <w:rPr>
          <w:rFonts w:eastAsia="Times New Roman"/>
          <w:b w:val="0"/>
          <w:bCs w:val="0"/>
          <w:sz w:val="24"/>
          <w:szCs w:val="24"/>
          <w:lang w:eastAsia="pt-BR"/>
        </w:rPr>
        <w:t>07h: 00min às 13h: 00min (</w:t>
      </w:r>
      <w:r>
        <w:rPr>
          <w:rFonts w:eastAsia="Times New Roman"/>
          <w:sz w:val="24"/>
          <w:szCs w:val="24"/>
          <w:lang w:eastAsia="pt-BR"/>
        </w:rPr>
        <w:t>horário local), munido de Requerimento, solicitando Vistas ao Processo.</w:t>
      </w: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sz w:val="24"/>
          <w:szCs w:val="24"/>
          <w:lang w:eastAsia="pt-BR"/>
        </w:rPr>
        <w:t>7.1</w:t>
      </w:r>
      <w:r>
        <w:rPr>
          <w:rFonts w:hint="default" w:eastAsia="Times New Roman"/>
          <w:sz w:val="24"/>
          <w:szCs w:val="24"/>
          <w:lang w:val="en-US" w:eastAsia="pt-BR"/>
        </w:rPr>
        <w:t>1</w:t>
      </w:r>
      <w:r>
        <w:rPr>
          <w:rFonts w:eastAsia="Times New Roman"/>
          <w:sz w:val="24"/>
          <w:szCs w:val="24"/>
          <w:lang w:eastAsia="pt-BR"/>
        </w:rPr>
        <w:t xml:space="preserve">.3 O requerimento solicitando Vistas ao Processo deverá ser entregue no </w:t>
      </w:r>
      <w:r>
        <w:rPr>
          <w:rFonts w:eastAsia="Calibri"/>
          <w:iCs/>
          <w:sz w:val="24"/>
          <w:szCs w:val="24"/>
          <w:lang w:eastAsia="pt-BR"/>
        </w:rPr>
        <w:t>Núcleo de Licitações e Contratos.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pPr>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Pr>
          <w:rFonts w:eastAsia="Times New Roman"/>
          <w:b/>
          <w:bCs/>
          <w:sz w:val="24"/>
          <w:szCs w:val="24"/>
          <w:lang w:eastAsia="pt-BR"/>
        </w:rPr>
        <w:t>8.2.</w:t>
      </w:r>
      <w:r>
        <w:rPr>
          <w:rFonts w:hint="default" w:eastAsia="Times New Roman"/>
          <w:b/>
          <w:bCs/>
          <w:sz w:val="24"/>
          <w:szCs w:val="24"/>
          <w:lang w:val="en-US" w:eastAsia="pt-BR"/>
        </w:rPr>
        <w:t>8</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overflowPunct w:val="0"/>
        <w:autoSpaceDE w:val="0"/>
        <w:autoSpaceDN w:val="0"/>
        <w:adjustRightInd w:val="0"/>
        <w:spacing w:after="0" w:line="240" w:lineRule="auto"/>
        <w:ind w:right="-142"/>
        <w:jc w:val="both"/>
        <w:textAlignment w:val="baseline"/>
        <w:rPr>
          <w:rFonts w:eastAsia="Times New Roman"/>
          <w:b/>
          <w:bCs/>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w:t>
      </w:r>
      <w:r>
        <w:rPr>
          <w:rFonts w:hint="default" w:eastAsia="Times New Roman"/>
          <w:b/>
          <w:bCs/>
          <w:sz w:val="24"/>
          <w:szCs w:val="24"/>
          <w:lang w:val="pt-BR"/>
        </w:rPr>
        <w:t>9</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w:t>
      </w:r>
      <w:r>
        <w:rPr>
          <w:rFonts w:hint="default" w:eastAsia="Times New Roman"/>
          <w:b/>
          <w:sz w:val="24"/>
          <w:szCs w:val="24"/>
          <w:lang w:val="pt-BR"/>
        </w:rPr>
        <w:t>0</w:t>
      </w:r>
      <w:r>
        <w:rPr>
          <w:rFonts w:eastAsia="Times New Roman"/>
          <w:sz w:val="24"/>
          <w:szCs w:val="24"/>
        </w:rPr>
        <w:t xml:space="preserve"> Declaração conhecimento e aceitação do teor do edital, conforme modelo constante no </w:t>
      </w:r>
      <w:r>
        <w:rPr>
          <w:rFonts w:eastAsia="Times New Roman"/>
          <w:color w:val="000000"/>
          <w:sz w:val="24"/>
          <w:szCs w:val="24"/>
        </w:rPr>
        <w:t>ANEXO IX</w:t>
      </w:r>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w:t>
      </w:r>
      <w:r>
        <w:rPr>
          <w:rFonts w:eastAsia="Times New Roman"/>
          <w:sz w:val="24"/>
          <w:szCs w:val="24"/>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  será encerrada a etapa competitiva e ordenadas às ofertas, exclusivamente pelo critério de menor preço por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9.2.16</w:t>
      </w:r>
      <w:r>
        <w:rPr>
          <w:rFonts w:eastAsia="Times New Roman"/>
          <w:sz w:val="24"/>
          <w:szCs w:val="24"/>
        </w:rPr>
        <w:t xml:space="preserve"> Não poderá haver desistência dos lances ofertados, sujeitando-se o licitante desistente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pPr>
        <w:spacing w:after="0" w:line="240" w:lineRule="auto"/>
        <w:jc w:val="both"/>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Em caso de participação de licitante que detenha a condição de micro empresa ou de empresa de pequeno porte nos termos da Lei 123/06, serão observado o seguinte:</w:t>
      </w:r>
    </w:p>
    <w:p>
      <w:pPr>
        <w:spacing w:after="0" w:line="240" w:lineRule="auto"/>
        <w:jc w:val="both"/>
        <w:rPr>
          <w:rFonts w:eastAsia="Times New Roman"/>
          <w:sz w:val="24"/>
          <w:szCs w:val="24"/>
          <w:lang w:eastAsia="pt-BR"/>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 </w:t>
      </w:r>
      <w:r>
        <w:rPr>
          <w:rFonts w:eastAsia="Times New Roman"/>
          <w:sz w:val="24"/>
          <w:szCs w:val="24"/>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no horário das 7h às 13h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 XV e XVI, da Lei nº 8.666/93.</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hint="default" w:eastAsia="Times New Roman"/>
          <w:sz w:val="24"/>
          <w:szCs w:val="24"/>
          <w:lang w:val="pt-BR"/>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w:t>
      </w:r>
      <w:r>
        <w:rPr>
          <w:rFonts w:hint="default" w:eastAsia="Times New Roman"/>
          <w:sz w:val="24"/>
          <w:szCs w:val="24"/>
          <w:lang w:val="pt-BR"/>
        </w:rPr>
        <w:t xml:space="preserve">, </w:t>
      </w:r>
      <w:r>
        <w:rPr>
          <w:b/>
          <w:iCs/>
          <w:sz w:val="22"/>
          <w:u w:val="single"/>
        </w:rPr>
        <w:t>exceto</w:t>
      </w:r>
      <w:r>
        <w:rPr>
          <w:b/>
          <w:iCs/>
          <w:sz w:val="22"/>
        </w:rPr>
        <w:t xml:space="preserve"> </w:t>
      </w:r>
      <w:r>
        <w:rPr>
          <w:iCs/>
          <w:sz w:val="22"/>
        </w:rPr>
        <w:t xml:space="preserve">se por algum motivo devidamente justificado, os </w:t>
      </w:r>
      <w:r>
        <w:rPr>
          <w:b/>
          <w:iCs/>
          <w:sz w:val="22"/>
        </w:rPr>
        <w:t>itens</w:t>
      </w:r>
      <w:r>
        <w:rPr>
          <w:iCs/>
          <w:sz w:val="22"/>
        </w:rPr>
        <w:t xml:space="preserve"> sofrerem alterações por fatos supervenientes alheio a vontade do contratado, </w:t>
      </w:r>
      <w:r>
        <w:rPr>
          <w:b/>
          <w:iCs/>
          <w:sz w:val="22"/>
        </w:rPr>
        <w:t xml:space="preserve">poderá </w:t>
      </w:r>
      <w:r>
        <w:rPr>
          <w:iCs/>
          <w:sz w:val="22"/>
        </w:rPr>
        <w:t xml:space="preserve">ser reajustada/reequilibrado de acordo com o artigo 40, inciso XI,  </w:t>
      </w:r>
      <w:r>
        <w:rPr>
          <w:bCs/>
          <w:sz w:val="22"/>
        </w:rPr>
        <w:t xml:space="preserve"> art. 55, inc. III, bem como o art. 65 </w:t>
      </w:r>
      <w:r>
        <w:rPr>
          <w:iCs/>
          <w:sz w:val="22"/>
        </w:rPr>
        <w:t>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 xml:space="preserve">Para efeito deste registro considera-se Ordem de Compras, aquela solicitação em que o quantitativo deverá ser entregue em sua totalidade em </w:t>
      </w:r>
      <w:r>
        <w:rPr>
          <w:rFonts w:eastAsia="Times New Roman"/>
          <w:sz w:val="24"/>
          <w:szCs w:val="24"/>
          <w:highlight w:val="yellow"/>
        </w:rPr>
        <w:t>até 10 (dez) dias úteis</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1"/>
        <w:rPr>
          <w:rFonts w:eastAsia="Times New Roman"/>
          <w:b/>
          <w:bCs/>
          <w:sz w:val="24"/>
          <w:szCs w:val="24"/>
          <w:lang w:eastAsia="pt-BR"/>
        </w:rPr>
      </w:pPr>
      <w:r>
        <w:rPr>
          <w:rFonts w:eastAsia="Times New Roman"/>
          <w:b/>
          <w:bCs/>
          <w:sz w:val="24"/>
          <w:szCs w:val="24"/>
          <w:lang w:eastAsia="pt-BR"/>
        </w:rPr>
        <w:t>14 – D</w:t>
      </w:r>
      <w:r>
        <w:rPr>
          <w:rFonts w:hint="default" w:eastAsia="Times New Roman"/>
          <w:b/>
          <w:bCs/>
          <w:sz w:val="24"/>
          <w:szCs w:val="24"/>
          <w:lang w:val="en-US" w:eastAsia="pt-BR"/>
        </w:rPr>
        <w:t>A</w:t>
      </w:r>
      <w:r>
        <w:rPr>
          <w:rFonts w:eastAsia="Times New Roman"/>
          <w:b/>
          <w:bCs/>
          <w:sz w:val="24"/>
          <w:szCs w:val="24"/>
          <w:lang w:eastAsia="pt-BR"/>
        </w:rPr>
        <w:t xml:space="preserve"> </w:t>
      </w:r>
      <w:r>
        <w:rPr>
          <w:rFonts w:hint="default" w:eastAsia="Times New Roman"/>
          <w:b/>
          <w:bCs/>
          <w:sz w:val="24"/>
          <w:szCs w:val="24"/>
          <w:lang w:val="en-US" w:eastAsia="pt-BR"/>
        </w:rPr>
        <w:t>PRESTAÇÃO DE SERVIÇO</w:t>
      </w:r>
      <w:r>
        <w:rPr>
          <w:rFonts w:eastAsia="Times New Roman"/>
          <w:b/>
          <w:bCs/>
          <w:sz w:val="24"/>
          <w:szCs w:val="24"/>
          <w:lang w:eastAsia="pt-BR"/>
        </w:rPr>
        <w:t>:</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itens licitados serão solicitados conforme a necessidade da Gerência, e deverão ser entregues no </w:t>
      </w:r>
      <w:r>
        <w:rPr>
          <w:rFonts w:eastAsia="Times New Roman"/>
          <w:sz w:val="24"/>
          <w:szCs w:val="24"/>
          <w:highlight w:val="none"/>
        </w:rPr>
        <w:t>Local indicado na Ordem de compra/serviço, pelo prazo máximo de 10 (dez) dias úteis</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rFonts w:eastAsia="Times New Roman"/>
          <w:sz w:val="24"/>
          <w:szCs w:val="24"/>
        </w:rPr>
        <w:t>A quantidade mínima a ser solicitada para a entrega do objeto deste edital está discriminada no Anexo I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14.4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15 - DO PAGAMENTO: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15.1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15.2 - </w:t>
      </w:r>
      <w:r>
        <w:rPr>
          <w:rFonts w:eastAsia="Times New Roman"/>
          <w:iCs/>
          <w:sz w:val="24"/>
          <w:szCs w:val="24"/>
        </w:rPr>
        <w:t xml:space="preserve">A Contratada deverá encaminhar junto a Nota Fiscal, documento em papel timbrado da empresa informando a </w:t>
      </w:r>
      <w:r>
        <w:rPr>
          <w:rFonts w:eastAsia="Times New Roman"/>
          <w:iCs/>
          <w:sz w:val="24"/>
          <w:szCs w:val="24"/>
          <w:lang w:val="pt-BR"/>
        </w:rPr>
        <w:t>Agência</w:t>
      </w:r>
      <w:r>
        <w:rPr>
          <w:rFonts w:eastAsia="Times New Roman"/>
          <w:iCs/>
          <w:sz w:val="24"/>
          <w:szCs w:val="24"/>
        </w:rPr>
        <w:t xml:space="preserve">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15.3 – </w:t>
      </w:r>
      <w:r>
        <w:rPr>
          <w:rFonts w:eastAsia="Times New Roman"/>
          <w:iCs/>
          <w:sz w:val="24"/>
          <w:szCs w:val="24"/>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15.4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15.4.3 </w:t>
      </w:r>
      <w:r>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w:instrText>
      </w:r>
      <w:r>
        <w:fldChar w:fldCharType="separate"/>
      </w:r>
      <w:r>
        <w:rPr>
          <w:rFonts w:eastAsia="Times New Roman"/>
          <w:color w:val="0000FF"/>
          <w:sz w:val="24"/>
          <w:szCs w:val="24"/>
          <w:u w:val="single"/>
        </w:rPr>
        <w:t>www.tst.jus.br/certidão</w:t>
      </w:r>
      <w:r>
        <w:rPr>
          <w:rFonts w:eastAsia="Times New Roman"/>
          <w:color w:val="0000FF"/>
          <w:sz w:val="24"/>
          <w:szCs w:val="24"/>
          <w:u w:val="single"/>
        </w:rPr>
        <w:fldChar w:fldCharType="end"/>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15.6 - </w:t>
      </w:r>
      <w:r>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15.8</w:t>
      </w:r>
      <w:r>
        <w:rPr>
          <w:rFonts w:eastAsia="Times New Roman"/>
          <w:b/>
          <w:bCs/>
          <w:i/>
          <w:iCs/>
          <w:sz w:val="24"/>
          <w:szCs w:val="24"/>
          <w:lang w:eastAsia="pt-BR"/>
        </w:rPr>
        <w:t xml:space="preserve"> </w:t>
      </w:r>
      <w:r>
        <w:rPr>
          <w:rFonts w:eastAsia="Times New Roman"/>
          <w:iCs/>
          <w:sz w:val="24"/>
          <w:szCs w:val="24"/>
          <w:lang w:eastAsia="pt-BR"/>
        </w:rPr>
        <w:t xml:space="preserve">- Nos casos de eventuais atrasos de pagamento, por culpa do Contratante, o valor devido será acrescido de encargos moratórios calculados desde a data final do período de adimplemento até a data do efetivo pagamento, o valor original deverá ser atualizado pelo </w:t>
      </w:r>
      <w:r>
        <w:rPr>
          <w:rFonts w:hint="default" w:eastAsia="Times New Roman"/>
          <w:iCs/>
          <w:sz w:val="24"/>
          <w:szCs w:val="24"/>
          <w:lang w:val="pt-BR"/>
        </w:rPr>
        <w:t xml:space="preserve">IPCA </w:t>
      </w:r>
      <w:r>
        <w:rPr>
          <w:rFonts w:ascii="Palatino" w:hAnsi="Palatino"/>
          <w:i w:val="0"/>
          <w:iCs w:val="0"/>
          <w:sz w:val="22"/>
          <w:szCs w:val="22"/>
        </w:rPr>
        <w:t xml:space="preserve"> (Índice acumulado nos últimos doze meses)</w:t>
      </w:r>
      <w:r>
        <w:rPr>
          <w:rFonts w:eastAsia="Times New Roman"/>
          <w:iCs/>
          <w:sz w:val="24"/>
          <w:szCs w:val="24"/>
          <w:lang w:eastAsia="pt-BR"/>
        </w:rPr>
        <w:t>.</w:t>
      </w:r>
    </w:p>
    <w:p>
      <w:pPr>
        <w:spacing w:after="0" w:line="240" w:lineRule="auto"/>
        <w:jc w:val="both"/>
        <w:rPr>
          <w:rFonts w:eastAsia="Times New Roman"/>
          <w:i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16 - DAS OBRIGAÇÕES DAS PARTES:</w:t>
      </w:r>
    </w:p>
    <w:p>
      <w:pPr>
        <w:overflowPunct w:val="0"/>
        <w:autoSpaceDE w:val="0"/>
        <w:autoSpaceDN w:val="0"/>
        <w:adjustRightInd w:val="0"/>
        <w:spacing w:after="0" w:line="240" w:lineRule="auto"/>
        <w:ind w:left="360"/>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16.1 </w:t>
      </w:r>
      <w:r>
        <w:rPr>
          <w:rFonts w:eastAsia="Times New Roman"/>
          <w:sz w:val="24"/>
          <w:szCs w:val="24"/>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16.2</w:t>
      </w:r>
      <w:r>
        <w:rPr>
          <w:rFonts w:eastAsia="Times New Roman"/>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17 - DAS PENALIDADES: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Cs/>
          <w:sz w:val="24"/>
          <w:szCs w:val="24"/>
          <w:lang w:eastAsia="pt-BR"/>
        </w:rPr>
      </w:pPr>
      <w:r>
        <w:rPr>
          <w:rFonts w:eastAsia="Times New Roman"/>
          <w:b/>
          <w:bCs/>
          <w:sz w:val="24"/>
          <w:szCs w:val="24"/>
          <w:lang w:eastAsia="pt-BR"/>
        </w:rPr>
        <w:t>17.2.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spacing w:after="0" w:line="240" w:lineRule="auto"/>
        <w:ind w:left="360"/>
        <w:jc w:val="both"/>
        <w:rPr>
          <w:rFonts w:eastAsia="Times New Roman"/>
          <w:b/>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spacing w:after="0" w:line="240" w:lineRule="auto"/>
        <w:jc w:val="both"/>
        <w:rPr>
          <w:rFonts w:eastAsia="Times New Roman"/>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17.3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17.4.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18 – DA IMPUGNAÇÃO DO ATO CONVOCATÓRIO: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18.1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w:instrText>
      </w:r>
      <w:r>
        <w:fldChar w:fldCharType="separate"/>
      </w:r>
      <w:r>
        <w:rPr>
          <w:rStyle w:val="14"/>
          <w:rFonts w:eastAsia="Times New Roman"/>
          <w:sz w:val="24"/>
          <w:szCs w:val="24"/>
        </w:rPr>
        <w:t>(licitacaonavirai@gmail.com)</w:t>
      </w:r>
      <w:r>
        <w:rPr>
          <w:rStyle w:val="14"/>
          <w:rFonts w:eastAsia="Times New Roman"/>
          <w:sz w:val="24"/>
          <w:szCs w:val="24"/>
        </w:rPr>
        <w:fldChar w:fldCharType="end"/>
      </w:r>
      <w:r>
        <w:rPr>
          <w:rFonts w:eastAsia="Times New Roman"/>
          <w:sz w:val="24"/>
          <w:szCs w:val="24"/>
        </w:rPr>
        <w:t xml:space="preserve"> desde que avisado a pregoeira por telefone o envio dos mesmos. </w:t>
      </w:r>
    </w:p>
    <w:p>
      <w:pPr>
        <w:tabs>
          <w:tab w:val="left" w:pos="9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18.2 </w:t>
      </w:r>
      <w:r>
        <w:rPr>
          <w:rFonts w:eastAsia="Times New Roman"/>
          <w:sz w:val="24"/>
          <w:szCs w:val="24"/>
        </w:rPr>
        <w:t>Não serão conhecidas às impugnações interpostas, quando já decorridos os respectivos prazos legais.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18.3 </w:t>
      </w:r>
      <w:r>
        <w:rPr>
          <w:rFonts w:eastAsia="Times New Roman"/>
          <w:sz w:val="24"/>
          <w:szCs w:val="24"/>
        </w:rPr>
        <w:t>Acolhida à petição impugnando o ato convocatório serão designadas, nova data para a realização do certame.</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19. DA ADESÃO À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19.3.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19.6.1. </w:t>
      </w:r>
      <w:r>
        <w:rPr>
          <w:rFonts w:eastAsia="Times New Roman"/>
          <w:sz w:val="24"/>
          <w:szCs w:val="24"/>
        </w:rPr>
        <w:t>Caberá ao órgão gerenciador autorizar, excepcional e justificadamente, a prorrogação do prazo para efetivação da contratação, respeitado o prazo de vigência da ata, desde que solicitada pelo órgão não participante.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20 -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20.3 </w:t>
      </w:r>
      <w:r>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20.4 </w:t>
      </w:r>
      <w:r>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20.8 </w:t>
      </w:r>
      <w:r>
        <w:rPr>
          <w:rFonts w:eastAsia="Times New Roman"/>
          <w:color w:val="000000"/>
          <w:sz w:val="24"/>
          <w:szCs w:val="24"/>
        </w:rPr>
        <w:t>Para dirimir, na esfera judicial, as questões oriundas do presente Edital, será competente exclusivamente o Foro da Comarca de Naviraí - 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20.10</w:t>
      </w:r>
      <w:r>
        <w:rPr>
          <w:rFonts w:eastAsia="Times New Roman"/>
          <w:color w:val="000000"/>
          <w:sz w:val="24"/>
          <w:szCs w:val="24"/>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hint="default" w:eastAsia="Times New Roman"/>
          <w:b/>
          <w:bCs/>
          <w:color w:val="000000"/>
          <w:sz w:val="24"/>
          <w:szCs w:val="24"/>
          <w:lang w:val="pt-BR"/>
        </w:rPr>
        <w:t>20</w:t>
      </w:r>
      <w:r>
        <w:rPr>
          <w:rFonts w:eastAsia="Times New Roman"/>
          <w:b/>
          <w:bCs/>
          <w:color w:val="000000"/>
          <w:sz w:val="24"/>
          <w:szCs w:val="24"/>
        </w:rPr>
        <w:t xml:space="preserve">.11 – </w:t>
      </w:r>
      <w:r>
        <w:rPr>
          <w:rFonts w:eastAsia="Times New Roman"/>
          <w:color w:val="000000"/>
          <w:sz w:val="24"/>
          <w:szCs w:val="24"/>
        </w:rPr>
        <w:t xml:space="preserve">A cópia completa deste edital poderá ser retirada no site do município </w:t>
      </w:r>
      <w:r>
        <w:fldChar w:fldCharType="begin"/>
      </w:r>
      <w:r>
        <w:instrText xml:space="preserve"> HYPERLINK "http://www.navirai.ms.gov.br/" </w:instrText>
      </w:r>
      <w:r>
        <w:fldChar w:fldCharType="separate"/>
      </w:r>
      <w:r>
        <w:rPr>
          <w:rFonts w:eastAsia="Times New Roman"/>
          <w:color w:val="0000FF"/>
          <w:sz w:val="24"/>
          <w:szCs w:val="24"/>
          <w:u w:val="single"/>
        </w:rPr>
        <w:t>www.navirai.ms.gov.br</w:t>
      </w:r>
      <w:r>
        <w:rPr>
          <w:rFonts w:eastAsia="Times New Roman"/>
          <w:color w:val="0000FF"/>
          <w:sz w:val="24"/>
          <w:szCs w:val="24"/>
          <w:u w:val="single"/>
        </w:rPr>
        <w:fldChar w:fldCharType="end"/>
      </w:r>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20.12 </w:t>
      </w:r>
      <w:r>
        <w:rPr>
          <w:rFonts w:eastAsia="Times New Roman"/>
          <w:color w:val="000000"/>
          <w:sz w:val="24"/>
          <w:szCs w:val="24"/>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III – Minuta da Ata de Registro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IV – Minuta do Contrato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 - Declaração de não Emprego a Menor;</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 – Declaração de comprometimento dos requisitos de habilitação;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VIII – Declaração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IX – </w:t>
      </w:r>
      <w:r>
        <w:rPr>
          <w:rFonts w:eastAsia="Times New Roman"/>
          <w:bCs/>
          <w:iCs/>
          <w:sz w:val="24"/>
          <w:szCs w:val="24"/>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Jaqueline Maria Garcia Mascioli,  Servidora Pública Municipal, digitei o presente edital</w:t>
      </w:r>
      <w:r>
        <w:rPr>
          <w:rFonts w:hint="default" w:eastAsia="Times New Roman"/>
          <w:sz w:val="24"/>
          <w:szCs w:val="24"/>
          <w:lang w:val="pt-BR"/>
        </w:rPr>
        <w:t xml:space="preserve"> com autorização do ordenador de despesas</w:t>
      </w:r>
      <w:r>
        <w:rPr>
          <w:rFonts w:eastAsia="Times New Roman"/>
          <w:sz w:val="24"/>
          <w:szCs w:val="24"/>
        </w:rPr>
        <w:t>, e eu, Josemar Tomazelli, Gerente de Finanças conforme Decreto nº. 024/2021,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Jaqueline Maria Garcia Mascioli</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Matrícula: 2910-6</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Pr>
          <w:rFonts w:eastAsia="Times New Roman"/>
          <w:sz w:val="24"/>
          <w:szCs w:val="24"/>
        </w:rPr>
        <w:t xml:space="preserve">Naviraí - MS, </w:t>
      </w:r>
      <w:r>
        <w:rPr>
          <w:rFonts w:hint="default" w:eastAsia="Times New Roman"/>
          <w:b/>
          <w:bCs/>
          <w:sz w:val="24"/>
          <w:szCs w:val="24"/>
          <w:lang w:val="pt-BR"/>
        </w:rPr>
        <w:t>26</w:t>
      </w:r>
      <w:r>
        <w:rPr>
          <w:rFonts w:hint="default" w:eastAsia="Times New Roman"/>
          <w:b/>
          <w:sz w:val="24"/>
          <w:szCs w:val="24"/>
          <w:lang w:val="pt-BR"/>
        </w:rPr>
        <w:t xml:space="preserve"> de julho de 2021.</w:t>
      </w:r>
      <w:r>
        <w:rPr>
          <w:rFonts w:eastAsia="Times New Roman"/>
          <w:sz w:val="24"/>
          <w:szCs w:val="24"/>
        </w:rPr>
        <w:t xml:space="preserve"> </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bookmarkStart w:id="0" w:name="_GoBack"/>
      <w:bookmarkEnd w:id="0"/>
    </w:p>
    <w:p>
      <w:pPr>
        <w:keepNext/>
        <w:spacing w:after="0" w:line="240" w:lineRule="auto"/>
        <w:ind w:hanging="851"/>
        <w:jc w:val="center"/>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ind w:right="-200" w:rightChars="-100"/>
        <w:textAlignment w:val="baseline"/>
        <w:rPr>
          <w:rFonts w:eastAsia="Times New Roman"/>
          <w:sz w:val="24"/>
          <w:szCs w:val="24"/>
          <w:lang w:eastAsia="pt-BR"/>
        </w:rPr>
      </w:pPr>
    </w:p>
    <w:p>
      <w:pPr>
        <w:keepNext/>
        <w:spacing w:after="0" w:line="240" w:lineRule="auto"/>
        <w:ind w:hanging="851"/>
        <w:jc w:val="center"/>
        <w:outlineLvl w:val="5"/>
        <w:rPr>
          <w:rFonts w:eastAsia="Times New Roman"/>
          <w:b/>
          <w:bCs/>
          <w:sz w:val="24"/>
          <w:szCs w:val="24"/>
          <w:lang w:eastAsia="pt-BR"/>
        </w:rPr>
      </w:pPr>
      <w:r>
        <w:rPr>
          <w:rFonts w:eastAsia="Times New Roman"/>
          <w:b/>
          <w:bCs/>
          <w:sz w:val="24"/>
          <w:szCs w:val="24"/>
          <w:lang w:eastAsia="pt-BR"/>
        </w:rPr>
        <w:t>ANEXO I – TERMO DE REFERÊNCIA</w:t>
      </w: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 OBJETO: REGISTRO DE PREÇOS OBJETIVANDO A CONTRATAÇÃO FUTURA DE EMPRESA ESPECIALIZADA EM REPARAÇÃO DE ARTIGOS MOBILIÁRIOS E REFORMA DE ESTOFADOS, CONFORME TERMO DE REFERÊNCIA PARA ATENDER A GERÊNCIA DE SAÚDE DO MUNICIPAL DE NAVIRAÍ/MS. PEDIDOS DE SERVIÇO Nº 178/2021, 179/2021, 180/2021, 181/2021.</w:t>
      </w:r>
    </w:p>
    <w:p>
      <w:pPr>
        <w:overflowPunct w:val="0"/>
        <w:autoSpaceDE w:val="0"/>
        <w:autoSpaceDN w:val="0"/>
        <w:adjustRightInd w:val="0"/>
        <w:spacing w:after="0" w:line="240" w:lineRule="auto"/>
        <w:jc w:val="both"/>
        <w:textAlignment w:val="baseline"/>
        <w:rPr>
          <w:rFonts w:eastAsia="Times New Roman"/>
          <w:b/>
          <w:bCs/>
          <w:sz w:val="24"/>
          <w:szCs w:val="24"/>
        </w:rPr>
      </w:pPr>
    </w:p>
    <w:tbl>
      <w:tblPr>
        <w:tblStyle w:val="12"/>
        <w:tblW w:w="9504"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114"/>
        <w:gridCol w:w="1132"/>
        <w:gridCol w:w="913"/>
        <w:gridCol w:w="1027"/>
        <w:gridCol w:w="531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1114"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ITEM</w:t>
            </w:r>
          </w:p>
        </w:tc>
        <w:tc>
          <w:tcPr>
            <w:tcW w:w="1132"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SUBITEM</w:t>
            </w:r>
          </w:p>
        </w:tc>
        <w:tc>
          <w:tcPr>
            <w:tcW w:w="913"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1027"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318"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1</w:t>
            </w: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(Pedido 178/21)</w:t>
            </w: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1</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2</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3</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EM BANCO TIPO MOCHO, C/ TROCA DE ESPUMAS DO ASSENTO E ENCOSTO. TECIDO COURVIN IMPERMEÁVEL, RESISTENTE À ÁLCOOL. COR: AZUL ROYAL. FIXO. MEDIDA DO ASSENTO: 0,38 CM. MEDIDA DO ENCOSTO: 0,39 CM. ESPESSURA MÍNIMA DO COURVIN DE 0,8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4</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EM COLCHÕES DE MACAS AMBULATORIAIS, C/ TROCA DE ESPUMA. DENSIDADE D-33. REVESTIMENTO EM TECIDO COURVIN IMPERMEÁVEL, RESISTENTE À ÁLCOOL. COR: AZUL ROYAL. ZÍPER DE FÁCIL ENCAIXE AO COLHÃO. MEDIDAS: 0,70 CM DE LARGURA x 1,98 MT DE COMPRIMENTO x 0,8 MM DE ESPESSURA MÍNIMA DO COURVIN.</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lang w:val="pt-BR"/>
              </w:rPr>
            </w:pPr>
          </w:p>
          <w:p>
            <w:pPr>
              <w:overflowPunct w:val="0"/>
              <w:autoSpaceDE w:val="0"/>
              <w:autoSpaceDN w:val="0"/>
              <w:adjustRightInd w:val="0"/>
              <w:spacing w:after="0"/>
              <w:jc w:val="both"/>
              <w:textAlignment w:val="baseline"/>
              <w:rPr>
                <w:rFonts w:hint="default" w:eastAsia="Arial Unicode MS"/>
                <w:szCs w:val="20"/>
                <w:lang w:val="pt-BR"/>
              </w:rPr>
            </w:pP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2</w:t>
            </w: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(pedido 179/21)</w:t>
            </w: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2.</w:t>
            </w:r>
            <w:r>
              <w:rPr>
                <w:rFonts w:eastAsia="Arial Unicode MS"/>
                <w:szCs w:val="20"/>
              </w:rPr>
              <w:t>1</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2.</w:t>
            </w:r>
            <w:r>
              <w:rPr>
                <w:rFonts w:eastAsia="Arial Unicode MS"/>
                <w:szCs w:val="20"/>
              </w:rPr>
              <w:t>2</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3</w:t>
            </w: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(pedido 180/21)</w:t>
            </w:r>
          </w:p>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3.</w:t>
            </w:r>
            <w:r>
              <w:rPr>
                <w:rFonts w:eastAsia="Arial Unicode MS"/>
                <w:szCs w:val="20"/>
              </w:rPr>
              <w:t>1</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3.</w:t>
            </w:r>
            <w:r>
              <w:rPr>
                <w:rFonts w:eastAsia="Arial Unicode MS"/>
                <w:szCs w:val="20"/>
              </w:rPr>
              <w:t>2</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4</w:t>
            </w: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(pedido 181/21)</w:t>
            </w: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4.</w:t>
            </w:r>
            <w:r>
              <w:rPr>
                <w:rFonts w:eastAsia="Arial Unicode MS"/>
                <w:szCs w:val="20"/>
              </w:rPr>
              <w:t>1</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4.</w:t>
            </w:r>
            <w:r>
              <w:rPr>
                <w:rFonts w:eastAsia="Arial Unicode MS"/>
                <w:szCs w:val="20"/>
              </w:rPr>
              <w:t>2</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r>
    </w:tbl>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2 VALIDADE DA ATA DE REGISTRO DE PREÇOS: </w:t>
      </w:r>
      <w:r>
        <w:rPr>
          <w:rFonts w:eastAsia="Times New Roman"/>
          <w:bCs/>
          <w:sz w:val="24"/>
          <w:szCs w:val="24"/>
        </w:rPr>
        <w:t>12 (doze) meses.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3 PRAZO PARA A ENTREGA DOS MATERIAIS: </w:t>
      </w:r>
      <w:r>
        <w:rPr>
          <w:rFonts w:eastAsia="Times New Roman"/>
          <w:bCs/>
          <w:sz w:val="24"/>
          <w:szCs w:val="24"/>
        </w:rPr>
        <w:t>10 (dez) dias úteis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4 PRAZO PARA SUBSTITUIÇÃO: </w:t>
      </w:r>
      <w:r>
        <w:rPr>
          <w:rFonts w:eastAsia="Times New Roman"/>
          <w:bCs/>
          <w:sz w:val="24"/>
          <w:szCs w:val="24"/>
        </w:rPr>
        <w:t>10 (dez) dias úteis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5 LOCAL DE ENTREGA: </w:t>
      </w:r>
      <w:r>
        <w:rPr>
          <w:rFonts w:eastAsia="Times New Roman"/>
          <w:bCs/>
          <w:sz w:val="24"/>
          <w:szCs w:val="24"/>
        </w:rPr>
        <w:t>Indicado na Ordem de Fornecimento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 QUANTIDADE MINIMA A SER SOLICITADA POR COMPRA: </w:t>
      </w:r>
      <w:r>
        <w:rPr>
          <w:rFonts w:eastAsia="Times New Roman"/>
          <w:bCs/>
          <w:sz w:val="24"/>
          <w:szCs w:val="24"/>
        </w:rPr>
        <w:t>01 (UMA) UNIDADE</w:t>
      </w:r>
    </w:p>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eastAsia="Times New Roman"/>
          <w:b/>
          <w:bCs/>
          <w:sz w:val="24"/>
          <w:szCs w:val="24"/>
          <w:lang w:eastAsia="pt-BR"/>
        </w:rPr>
      </w:pPr>
      <w:r>
        <w:drawing>
          <wp:inline distT="0" distB="0" distL="114300" distR="114300">
            <wp:extent cx="6024245" cy="7258050"/>
            <wp:effectExtent l="0" t="0" r="14605" b="0"/>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pic:cNvPicPr>
                      <a:picLocks noChangeAspect="1"/>
                    </pic:cNvPicPr>
                  </pic:nvPicPr>
                  <pic:blipFill>
                    <a:blip r:embed="rId9"/>
                    <a:stretch>
                      <a:fillRect/>
                    </a:stretch>
                  </pic:blipFill>
                  <pic:spPr>
                    <a:xfrm>
                      <a:off x="0" y="0"/>
                      <a:ext cx="6024245" cy="7258050"/>
                    </a:xfrm>
                    <a:prstGeom prst="rect">
                      <a:avLst/>
                    </a:prstGeom>
                    <a:noFill/>
                    <a:ln>
                      <a:noFill/>
                    </a:ln>
                  </pic:spPr>
                </pic:pic>
              </a:graphicData>
            </a:graphic>
          </wp:inline>
        </w:drawing>
      </w: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drawing>
          <wp:inline distT="0" distB="0" distL="114300" distR="114300">
            <wp:extent cx="5792470" cy="8128635"/>
            <wp:effectExtent l="0" t="0" r="17780" b="5715"/>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3"/>
                    <pic:cNvPicPr>
                      <a:picLocks noChangeAspect="1"/>
                    </pic:cNvPicPr>
                  </pic:nvPicPr>
                  <pic:blipFill>
                    <a:blip r:embed="rId10"/>
                    <a:srcRect l="424" t="-416" r="294" b="1893"/>
                    <a:stretch>
                      <a:fillRect/>
                    </a:stretch>
                  </pic:blipFill>
                  <pic:spPr>
                    <a:xfrm>
                      <a:off x="0" y="0"/>
                      <a:ext cx="5792470" cy="8128635"/>
                    </a:xfrm>
                    <a:prstGeom prst="rect">
                      <a:avLst/>
                    </a:prstGeom>
                    <a:noFill/>
                    <a:ln>
                      <a:noFill/>
                    </a:ln>
                  </pic:spPr>
                </pic:pic>
              </a:graphicData>
            </a:graphic>
          </wp:inline>
        </w:drawing>
      </w:r>
      <w:r>
        <w:drawing>
          <wp:inline distT="0" distB="0" distL="114300" distR="114300">
            <wp:extent cx="5888355" cy="8100695"/>
            <wp:effectExtent l="0" t="0" r="17145" b="14605"/>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pic:cNvPicPr>
                      <a:picLocks noChangeAspect="1"/>
                    </pic:cNvPicPr>
                  </pic:nvPicPr>
                  <pic:blipFill>
                    <a:blip r:embed="rId11"/>
                    <a:srcRect l="-925" t="1816"/>
                    <a:stretch>
                      <a:fillRect/>
                    </a:stretch>
                  </pic:blipFill>
                  <pic:spPr>
                    <a:xfrm>
                      <a:off x="0" y="0"/>
                      <a:ext cx="5888355" cy="8100695"/>
                    </a:xfrm>
                    <a:prstGeom prst="rect">
                      <a:avLst/>
                    </a:prstGeom>
                    <a:noFill/>
                    <a:ln>
                      <a:noFill/>
                    </a:ln>
                  </pic:spPr>
                </pic:pic>
              </a:graphicData>
            </a:graphic>
          </wp:inline>
        </w:drawing>
      </w:r>
      <w:r>
        <w:drawing>
          <wp:inline distT="0" distB="0" distL="114300" distR="114300">
            <wp:extent cx="5834380" cy="8250555"/>
            <wp:effectExtent l="0" t="0" r="13970" b="17145"/>
            <wp:docPr id="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pic:cNvPicPr>
                      <a:picLocks noChangeAspect="1"/>
                    </pic:cNvPicPr>
                  </pic:nvPicPr>
                  <pic:blipFill>
                    <a:blip r:embed="rId12"/>
                    <a:stretch>
                      <a:fillRect/>
                    </a:stretch>
                  </pic:blipFill>
                  <pic:spPr>
                    <a:xfrm>
                      <a:off x="0" y="0"/>
                      <a:ext cx="5834380" cy="8250555"/>
                    </a:xfrm>
                    <a:prstGeom prst="rect">
                      <a:avLst/>
                    </a:prstGeom>
                    <a:noFill/>
                    <a:ln>
                      <a:noFill/>
                    </a:ln>
                  </pic:spPr>
                </pic:pic>
              </a:graphicData>
            </a:graphic>
          </wp:inline>
        </w:drawing>
      </w:r>
      <w:r>
        <w:drawing>
          <wp:inline distT="0" distB="0" distL="114300" distR="114300">
            <wp:extent cx="5834380" cy="8250555"/>
            <wp:effectExtent l="0" t="0" r="13970" b="17145"/>
            <wp:docPr id="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6"/>
                    <pic:cNvPicPr>
                      <a:picLocks noChangeAspect="1"/>
                    </pic:cNvPicPr>
                  </pic:nvPicPr>
                  <pic:blipFill>
                    <a:blip r:embed="rId13"/>
                    <a:srcRect l="882" t="-1370" r="-882" b="1370"/>
                    <a:stretch>
                      <a:fillRect/>
                    </a:stretch>
                  </pic:blipFill>
                  <pic:spPr>
                    <a:xfrm>
                      <a:off x="0" y="0"/>
                      <a:ext cx="5834380" cy="8250555"/>
                    </a:xfrm>
                    <a:prstGeom prst="rect">
                      <a:avLst/>
                    </a:prstGeom>
                    <a:noFill/>
                    <a:ln>
                      <a:noFill/>
                    </a:ln>
                  </pic:spPr>
                </pic:pic>
              </a:graphicData>
            </a:graphic>
          </wp:inline>
        </w:drawing>
      </w:r>
      <w:r>
        <w:drawing>
          <wp:inline distT="0" distB="0" distL="114300" distR="114300">
            <wp:extent cx="5801360" cy="8100060"/>
            <wp:effectExtent l="0" t="0" r="8890" b="15240"/>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pic:cNvPicPr>
                      <a:picLocks noChangeAspect="1"/>
                    </pic:cNvPicPr>
                  </pic:nvPicPr>
                  <pic:blipFill>
                    <a:blip r:embed="rId14"/>
                    <a:srcRect l="566" t="1824"/>
                    <a:stretch>
                      <a:fillRect/>
                    </a:stretch>
                  </pic:blipFill>
                  <pic:spPr>
                    <a:xfrm>
                      <a:off x="0" y="0"/>
                      <a:ext cx="5801360" cy="8100060"/>
                    </a:xfrm>
                    <a:prstGeom prst="rect">
                      <a:avLst/>
                    </a:prstGeom>
                    <a:noFill/>
                    <a:ln>
                      <a:noFill/>
                    </a:ln>
                  </pic:spPr>
                </pic:pic>
              </a:graphicData>
            </a:graphic>
          </wp:inline>
        </w:drawing>
      </w:r>
      <w:r>
        <w:drawing>
          <wp:inline distT="0" distB="0" distL="114300" distR="114300">
            <wp:extent cx="5834380" cy="8250555"/>
            <wp:effectExtent l="0" t="0" r="13970" b="17145"/>
            <wp:docPr id="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8"/>
                    <pic:cNvPicPr>
                      <a:picLocks noChangeAspect="1"/>
                    </pic:cNvPicPr>
                  </pic:nvPicPr>
                  <pic:blipFill>
                    <a:blip r:embed="rId15"/>
                    <a:srcRect l="325" t="-2956"/>
                    <a:stretch>
                      <a:fillRect/>
                    </a:stretch>
                  </pic:blipFill>
                  <pic:spPr>
                    <a:xfrm>
                      <a:off x="0" y="0"/>
                      <a:ext cx="5834380" cy="825055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sectPr>
          <w:headerReference r:id="rId5" w:type="default"/>
          <w:footerReference r:id="rId6" w:type="default"/>
          <w:footerReference r:id="rId7" w:type="even"/>
          <w:pgSz w:w="11907" w:h="16840"/>
          <w:pgMar w:top="1537" w:right="910" w:bottom="709" w:left="1797" w:header="284" w:footer="459" w:gutter="0"/>
          <w:cols w:space="720" w:num="1"/>
          <w:docGrid w:linePitch="272" w:charSpace="0"/>
        </w:sect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ANEXO II – PROPOSTA DE PREÇOS</w:t>
      </w: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PREFEITURA DE NAVIRAÍ - MS</w:t>
      </w:r>
    </w:p>
    <w:p>
      <w:pPr>
        <w:overflowPunct w:val="0"/>
        <w:autoSpaceDE w:val="0"/>
        <w:autoSpaceDN w:val="0"/>
        <w:adjustRightInd w:val="0"/>
        <w:spacing w:after="0" w:line="240" w:lineRule="auto"/>
        <w:textAlignment w:val="baseline"/>
        <w:rPr>
          <w:rFonts w:eastAsia="Arial Unicode MS"/>
          <w:b/>
          <w:sz w:val="24"/>
          <w:szCs w:val="24"/>
        </w:rPr>
      </w:pPr>
      <w:r>
        <w:rPr>
          <w:rFonts w:eastAsia="Arial Unicode MS"/>
          <w:b/>
          <w:sz w:val="24"/>
          <w:szCs w:val="24"/>
        </w:rPr>
        <w:t>ESTADO DE MATO GROSSO DO SUL</w:t>
      </w:r>
    </w:p>
    <w:p>
      <w:pPr>
        <w:overflowPunct w:val="0"/>
        <w:autoSpaceDE w:val="0"/>
        <w:autoSpaceDN w:val="0"/>
        <w:adjustRightInd w:val="0"/>
        <w:spacing w:after="0" w:line="20" w:lineRule="exact"/>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Arial Unicode MS"/>
          <w:sz w:val="24"/>
          <w:szCs w:val="24"/>
        </w:rPr>
      </w:pP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68/2021</w:t>
            </w:r>
            <w:r>
              <w:rPr>
                <w:rFonts w:eastAsia="Arial Unicode MS"/>
                <w:b/>
                <w:color w:val="FF0000"/>
                <w:sz w:val="22"/>
                <w:highlight w:val="yellow"/>
              </w:rPr>
              <w:t xml:space="preserve"> </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textAlignment w:val="baseline"/>
        <w:rPr>
          <w:rFonts w:eastAsia="Times New Roman"/>
          <w:sz w:val="24"/>
          <w:szCs w:val="24"/>
        </w:rPr>
      </w:pPr>
    </w:p>
    <w:tbl>
      <w:tblPr>
        <w:tblStyle w:val="12"/>
        <w:tblW w:w="15425" w:type="dxa"/>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4"/>
        <w:gridCol w:w="835"/>
        <w:gridCol w:w="697"/>
        <w:gridCol w:w="7462"/>
        <w:gridCol w:w="1663"/>
        <w:gridCol w:w="1399"/>
        <w:gridCol w:w="17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hint="default" w:eastAsia="Arial Unicode MS"/>
                <w:b/>
                <w:i/>
                <w:szCs w:val="20"/>
                <w:lang w:val="pt-BR"/>
              </w:rPr>
            </w:pPr>
            <w:r>
              <w:rPr>
                <w:rFonts w:hint="default" w:eastAsia="Arial Unicode MS"/>
                <w:b w:val="0"/>
                <w:bCs/>
                <w:i w:val="0"/>
                <w:iCs/>
                <w:szCs w:val="20"/>
                <w:lang w:val="pt-BR"/>
              </w:rPr>
              <w:t>ITEM</w:t>
            </w:r>
          </w:p>
        </w:tc>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b w:val="0"/>
                <w:bCs/>
                <w:i w:val="0"/>
                <w:iCs/>
                <w:szCs w:val="20"/>
                <w:lang w:val="pt-BR"/>
              </w:rPr>
              <w:t>SUB</w:t>
            </w:r>
            <w:r>
              <w:rPr>
                <w:rFonts w:eastAsia="Arial Unicode MS"/>
                <w:b/>
                <w:i/>
                <w:szCs w:val="20"/>
              </w:rPr>
              <w:t xml:space="preserve"> </w:t>
            </w:r>
            <w:r>
              <w:rPr>
                <w:rFonts w:eastAsia="Arial Unicode MS"/>
                <w:szCs w:val="20"/>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462"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 xml:space="preserve">   ESPECIFICAÇÃO</w:t>
            </w:r>
          </w:p>
        </w:tc>
        <w:tc>
          <w:tcPr>
            <w:tcW w:w="166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MARCA</w:t>
            </w:r>
          </w:p>
        </w:tc>
        <w:tc>
          <w:tcPr>
            <w:tcW w:w="13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UNIT.</w:t>
            </w:r>
          </w:p>
        </w:tc>
        <w:tc>
          <w:tcPr>
            <w:tcW w:w="170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1</w:t>
            </w: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EM BANCO TIPO MOCHO, C/ TROCA DE ESPUMAS DO ASSENTO E ENCOSTO. TECIDO COURVIN IMPERMEÁVEL, RESISTENTE À ÁLCOOL. COR: AZUL ROYAL. FIXO. MEDIDA DO ASSENTO: 0,38 CM. MEDIDA DO ENCOSTO: 0,39 CM. ESPESSURA MÍNIMA DO COURVIN DE 0,8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EM COLCHÕES DE MACAS AMBULATORIAIS, C/ TROCA DE ESPUMA. DENSIDADE D-33. REVESTIMENTO EM TECIDO COURVIN IMPERMEÁVEL, RESISTENTE À ÁLCOOL. COR: AZUL ROYAL. ZÍPER DE FÁCIL ENCAIXE AO COLHÃO. MEDIDAS: 0,70 CM DE LARGURA x 1,98 MT DE COMPRIMENTO x 0,8 MM DE ESPESSURA MÍNIMA DO COURVIN.</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2</w:t>
            </w: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2.</w:t>
            </w: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2.</w:t>
            </w: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3</w:t>
            </w: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3.</w:t>
            </w: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3.</w:t>
            </w: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4</w:t>
            </w: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4.</w:t>
            </w: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4.</w:t>
            </w: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bl>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Style w:val="12"/>
        <w:tblW w:w="0" w:type="auto"/>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68/2021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 data.................................de 2021.</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CPF nº...........................</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sectPr>
          <w:pgSz w:w="16840" w:h="11907" w:orient="landscape"/>
          <w:pgMar w:top="1797" w:right="1537" w:bottom="913" w:left="709" w:header="284" w:footer="459" w:gutter="0"/>
          <w:cols w:space="0" w:num="1"/>
          <w:rtlGutter w:val="0"/>
          <w:docGrid w:linePitch="272" w:charSpace="0"/>
        </w:sect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ANEXO III</w:t>
      </w: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121/2021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68/ 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 xml:space="preserve">Pessoa Jurídica de Direito Público Interno, </w:t>
      </w:r>
      <w:r>
        <w:rPr>
          <w:rFonts w:eastAsia="Times New Roman"/>
          <w:sz w:val="24"/>
          <w:szCs w:val="24"/>
          <w:highlight w:val="yellow"/>
        </w:rPr>
        <w:t>com sede a Praça Prefeito Euclides Antônio Fabris n.º 343, inscrita no CGC/MF sob o n.º 03.155.934/0001-90</w:t>
      </w:r>
      <w:r>
        <w:rPr>
          <w:rFonts w:eastAsia="Times New Roman"/>
          <w:sz w:val="24"/>
          <w:szCs w:val="24"/>
          <w:lang w:eastAsia="pt-BR"/>
        </w:rPr>
        <w:t xml:space="preserve">, </w:t>
      </w:r>
      <w:r>
        <w:rPr>
          <w:rFonts w:eastAsia="Times New Roman"/>
          <w:iCs/>
          <w:sz w:val="24"/>
          <w:szCs w:val="24"/>
          <w:highlight w:val="yellow"/>
          <w:lang w:eastAsia="pt-BR"/>
        </w:rPr>
        <w:t xml:space="preserve">por meio do Fundo Municipal de Saúde, com sede a Avenida Amélia Fukuda nº. 100, inscrito no CGC/MF sob o n.º 11.221.619/0001-42, </w:t>
      </w:r>
      <w:r>
        <w:rPr>
          <w:rFonts w:eastAsia="Times New Roman"/>
          <w:sz w:val="24"/>
          <w:szCs w:val="24"/>
          <w:lang w:eastAsia="pt-BR"/>
        </w:rPr>
        <w:t xml:space="preserve">neste ato representado por </w:t>
      </w:r>
      <w:r>
        <w:rPr>
          <w:b/>
          <w:iCs/>
          <w:sz w:val="22"/>
          <w:szCs w:val="22"/>
          <w:u w:val="single"/>
        </w:rPr>
        <w:t>Marcio Grei Alves Vidal de Figueiredo</w:t>
      </w:r>
      <w:r>
        <w:rPr>
          <w:iCs/>
          <w:sz w:val="22"/>
          <w:szCs w:val="22"/>
        </w:rPr>
        <w:t>, Gerente de Saúde e Ordenador de Despesas conforme Decreto nº. 052/2021, brasileiro, portador do CPF/MF nº. 613.705.841-72 e Cédula de Identidade RG nº. 828.899 SSP/MS, residente e domiciliado nesta cidade a Rua Riachuelo nº 450 – Centro</w:t>
      </w:r>
      <w:r>
        <w:rPr>
          <w:rFonts w:eastAsia="Times New Roman"/>
          <w:sz w:val="24"/>
          <w:szCs w:val="24"/>
        </w:rPr>
        <w:t xml:space="preserve">.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68/2021</w:t>
      </w:r>
      <w:r>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 </w:t>
      </w:r>
      <w:r>
        <w:rPr>
          <w:rFonts w:eastAsia="Times New Roman"/>
          <w:sz w:val="24"/>
          <w:szCs w:val="24"/>
          <w:lang w:eastAsia="pt-BR"/>
        </w:rPr>
        <w:t xml:space="preserve">- A presente Ata tem por objeto o </w:t>
      </w:r>
      <w:r>
        <w:rPr>
          <w:rFonts w:eastAsia="Times New Roman"/>
          <w:b/>
          <w:sz w:val="24"/>
          <w:szCs w:val="24"/>
          <w:lang w:eastAsia="pt-BR"/>
        </w:rPr>
        <w:t>REGISTRO DE PREÇOS OBJETIVANDO A CONTRATAÇÃO FUTURA DE EMPRESA ESPECIALIZADA EM REPARAÇÃO DE ARTIGOS MOBILIÁRIOS E REFORMA DE ESTOFADOS, CONFORME TERMO DE REFERÊNCIA PARA ATENDER A GERÊNCIA DE SAÚDE DO MUNICIPAL DE NAVIRAÍ/MS. PEDIDOS DE SERVIÇO Nº 178/2021, 179/2021, 180/2021, 181/2021.</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68/2021</w:t>
      </w:r>
      <w:r>
        <w:rPr>
          <w:rFonts w:eastAsia="Times New Roman"/>
          <w:sz w:val="24"/>
          <w:szCs w:val="24"/>
          <w:lang w:eastAsia="pt-BR"/>
        </w:rPr>
        <w:t xml:space="preserve">, Processo n° </w:t>
      </w:r>
      <w:r>
        <w:rPr>
          <w:rFonts w:eastAsia="Times New Roman"/>
          <w:b/>
          <w:sz w:val="24"/>
          <w:szCs w:val="24"/>
          <w:lang w:eastAsia="pt-BR"/>
        </w:rPr>
        <w:t>121/2021</w:t>
      </w:r>
      <w:r>
        <w:rPr>
          <w:rFonts w:eastAsia="Times New Roman"/>
          <w:sz w:val="24"/>
          <w:szCs w:val="24"/>
          <w:lang w:eastAsia="pt-BR"/>
        </w:rPr>
        <w:t>, os quais, independentemente de transcrição, fazem parte deste instrumento, naquilo que não o contrarie.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2.1.2 Permitir ao pessoal da contratada o acesso ao local da entrega do objeto, desde que observadas as normas de segurança;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2.1.3 Notificar o fornecedor de qualquer irregularidade encontrada no fornecimento do material;</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Fornecer o material conforme especificação marca e preço registrados;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2.2.3 Entregar o material solicitado no respectivo endereço do órgão participante da presente Ata de Registro de Preços, no prazo máximo de </w:t>
      </w:r>
      <w:r>
        <w:rPr>
          <w:rFonts w:eastAsia="Times New Roman"/>
          <w:sz w:val="24"/>
          <w:szCs w:val="24"/>
          <w:highlight w:val="yellow"/>
          <w:lang w:eastAsia="pt-BR"/>
        </w:rPr>
        <w:t>10 (dez) dias úteis</w:t>
      </w:r>
      <w:r>
        <w:rPr>
          <w:rFonts w:eastAsia="Times New Roman"/>
          <w:sz w:val="24"/>
          <w:szCs w:val="24"/>
          <w:lang w:eastAsia="pt-BR"/>
        </w:rPr>
        <w:t>, a contar do recebimento da Ordem de Compras;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 via fax ou telefone, para retirada da nota de empenho;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XV e XVI, da Lei nº 8.666/93.</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hint="default" w:eastAsia="Times New Roman"/>
          <w:b/>
          <w:bCs/>
          <w:sz w:val="24"/>
          <w:szCs w:val="24"/>
          <w:lang w:val="en-US" w:eastAsia="pt-BR"/>
        </w:rPr>
      </w:pPr>
      <w:r>
        <w:rPr>
          <w:rFonts w:eastAsia="Times New Roman"/>
          <w:b/>
          <w:bCs/>
          <w:sz w:val="24"/>
          <w:szCs w:val="24"/>
          <w:lang w:eastAsia="pt-BR"/>
        </w:rPr>
        <w:t>CLÁUSULA SÉTIMA - D</w:t>
      </w:r>
      <w:r>
        <w:rPr>
          <w:rFonts w:hint="default" w:eastAsia="Times New Roman"/>
          <w:b/>
          <w:bCs/>
          <w:sz w:val="24"/>
          <w:szCs w:val="24"/>
          <w:lang w:val="en-US" w:eastAsia="pt-BR"/>
        </w:rPr>
        <w:t>A FORMA DE PRESTAÇÃO DE SERVIÇO:</w:t>
      </w:r>
    </w:p>
    <w:p>
      <w:pPr>
        <w:overflowPunct w:val="0"/>
        <w:autoSpaceDE w:val="0"/>
        <w:autoSpaceDN w:val="0"/>
        <w:adjustRightInd w:val="0"/>
        <w:spacing w:after="0" w:line="240" w:lineRule="auto"/>
        <w:jc w:val="both"/>
        <w:textAlignment w:val="baseline"/>
        <w:rPr>
          <w:rFonts w:hint="default" w:eastAsia="Times New Roman"/>
          <w:b/>
          <w:bCs/>
          <w:sz w:val="24"/>
          <w:szCs w:val="24"/>
          <w:lang w:val="en-US" w:eastAsia="pt-BR"/>
        </w:rPr>
      </w:pPr>
    </w:p>
    <w:p>
      <w:pPr>
        <w:overflowPunct w:val="0"/>
        <w:autoSpaceDE w:val="0"/>
        <w:autoSpaceDN w:val="0"/>
        <w:adjustRightInd w:val="0"/>
        <w:spacing w:after="0" w:line="240" w:lineRule="auto"/>
        <w:jc w:val="both"/>
        <w:textAlignment w:val="baseline"/>
        <w:rPr>
          <w:rFonts w:eastAsia="Times New Roman"/>
          <w:sz w:val="24"/>
          <w:szCs w:val="24"/>
          <w:highlight w:val="none"/>
        </w:rPr>
      </w:pPr>
      <w:r>
        <w:rPr>
          <w:rFonts w:eastAsia="Times New Roman"/>
          <w:b/>
          <w:bCs/>
          <w:sz w:val="24"/>
          <w:szCs w:val="24"/>
        </w:rPr>
        <w:t>7.1</w:t>
      </w:r>
      <w:r>
        <w:rPr>
          <w:rFonts w:eastAsia="Times New Roman"/>
          <w:sz w:val="24"/>
          <w:szCs w:val="24"/>
        </w:rPr>
        <w:t xml:space="preserve"> – Os itens licitados serão solicitados conforme a necessidade da Gerência, e deverão ser entregues no </w:t>
      </w:r>
      <w:r>
        <w:rPr>
          <w:rFonts w:eastAsia="Times New Roman"/>
          <w:sz w:val="24"/>
          <w:szCs w:val="24"/>
          <w:highlight w:val="none"/>
        </w:rPr>
        <w:t>Local indicado na Ordem de Fornecimento, pelo prazo máximo de 10 (dez) dias úteis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7.4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O recebimento provisório ou definitivo não exclui as responsabilidades civis e penais da CONTRATADA.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hint="default" w:eastAsia="Times New Roman"/>
          <w:iCs/>
          <w:sz w:val="24"/>
          <w:szCs w:val="24"/>
          <w:lang w:val="pt-BR"/>
        </w:rPr>
        <w:t xml:space="preserve">IPCA </w:t>
      </w:r>
      <w:r>
        <w:rPr>
          <w:rFonts w:ascii="Palatino" w:hAnsi="Palatino"/>
          <w:i w:val="0"/>
          <w:iCs w:val="0"/>
          <w:sz w:val="22"/>
          <w:szCs w:val="22"/>
        </w:rPr>
        <w:t xml:space="preserve"> (Índice acumulado nos últimos doze meses)</w:t>
      </w:r>
      <w:r>
        <w:rPr>
          <w:rFonts w:eastAsia="Times New Roman"/>
          <w:sz w:val="24"/>
          <w:szCs w:val="24"/>
          <w:lang w:eastAsia="pt-BR"/>
        </w:rPr>
        <w:t>, ocorrida entre a data final prevista para o pagamento e a data de sua efetiva realização.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Todas as alterações que se fizerem necessárias serão registradas por intermédio de lavratura de termo aditivo à presente Ata de Registro de Preços.</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w:instrText>
      </w:r>
      <w:r>
        <w:fldChar w:fldCharType="separate"/>
      </w:r>
      <w:r>
        <w:rPr>
          <w:rFonts w:eastAsia="Times New Roman"/>
          <w:color w:val="0000FF"/>
          <w:sz w:val="24"/>
          <w:szCs w:val="24"/>
          <w:u w:val="single"/>
          <w:lang w:eastAsia="pt-BR"/>
        </w:rPr>
        <w:t>www.navirai.ms.gov.br/licitacoes</w:t>
      </w:r>
      <w:r>
        <w:rPr>
          <w:rFonts w:eastAsia="Times New Roman"/>
          <w:color w:val="0000FF"/>
          <w:sz w:val="24"/>
          <w:szCs w:val="24"/>
          <w:u w:val="single"/>
          <w:lang w:eastAsia="pt-BR"/>
        </w:rPr>
        <w:fldChar w:fldCharType="end"/>
      </w:r>
      <w:r>
        <w:rPr>
          <w:rFonts w:eastAsia="Times New Roman"/>
          <w:sz w:val="24"/>
          <w:szCs w:val="24"/>
          <w:lang w:eastAsia="pt-BR"/>
        </w:rPr>
        <w:t xml:space="preserve"> </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spacing w:after="0"/>
              <w:ind w:right="33"/>
              <w:jc w:val="center"/>
              <w:textAlignment w:val="baseline"/>
              <w:rPr>
                <w:b/>
                <w:iCs/>
                <w:sz w:val="22"/>
                <w:szCs w:val="22"/>
                <w:lang w:eastAsia="en-US"/>
              </w:rPr>
            </w:pPr>
            <w:r>
              <w:rPr>
                <w:b/>
                <w:bCs/>
                <w:sz w:val="22"/>
              </w:rPr>
              <w:t>MÁRCIO GREI ALVES VIDAL DE FIGUEIREDO</w:t>
            </w:r>
          </w:p>
          <w:p>
            <w:pPr>
              <w:widowControl w:val="0"/>
              <w:tabs>
                <w:tab w:val="left" w:pos="5562"/>
              </w:tabs>
              <w:spacing w:after="0"/>
              <w:ind w:right="33"/>
              <w:jc w:val="center"/>
              <w:textAlignment w:val="baseline"/>
              <w:rPr>
                <w:b/>
                <w:iCs/>
                <w:sz w:val="22"/>
                <w:szCs w:val="22"/>
                <w:lang w:eastAsia="en-US"/>
              </w:rPr>
            </w:pPr>
            <w:r>
              <w:rPr>
                <w:rFonts w:eastAsia="MS Mincho"/>
                <w:b/>
                <w:iCs/>
                <w:sz w:val="22"/>
                <w:szCs w:val="22"/>
                <w:lang w:eastAsia="en-US"/>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szCs w:val="22"/>
                <w:lang w:eastAsia="en-US"/>
              </w:rPr>
              <w:t>Conforme Decreto nº. 052/2021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ANEXO I DA ATA DE REGISTRO DE PREÇOS Nº. _____/2021.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68/2021</w:t>
      </w:r>
      <w:r>
        <w:rPr>
          <w:rFonts w:eastAsia="Times New Roman"/>
          <w:sz w:val="24"/>
          <w:szCs w:val="24"/>
          <w:lang w:eastAsia="pt-BR"/>
        </w:rPr>
        <w:t xml:space="preserve"> – Processo nº. </w:t>
      </w:r>
      <w:r>
        <w:rPr>
          <w:rFonts w:eastAsia="Times New Roman"/>
          <w:b/>
          <w:sz w:val="24"/>
          <w:szCs w:val="24"/>
          <w:lang w:eastAsia="pt-BR"/>
        </w:rPr>
        <w:t>121/2021</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Insc. Estadual: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nº.:</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Bairro: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CEP:</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Estado: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Fax:</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e-mail: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RG:</w:t>
      </w: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828"/>
        <w:gridCol w:w="806"/>
        <w:gridCol w:w="3584"/>
        <w:gridCol w:w="1417"/>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QTDE</w:t>
            </w: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UNID</w:t>
            </w: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1</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2</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3</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bl>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spacing w:after="0"/>
              <w:ind w:right="33"/>
              <w:jc w:val="center"/>
              <w:textAlignment w:val="baseline"/>
              <w:rPr>
                <w:b/>
                <w:iCs/>
                <w:sz w:val="22"/>
                <w:szCs w:val="22"/>
                <w:lang w:eastAsia="en-US"/>
              </w:rPr>
            </w:pPr>
            <w:r>
              <w:rPr>
                <w:b/>
                <w:bCs/>
                <w:sz w:val="22"/>
              </w:rPr>
              <w:t>MÁRCIO GREI ALVES VIDAL DE FIGUEIREDO</w:t>
            </w:r>
          </w:p>
          <w:p>
            <w:pPr>
              <w:widowControl w:val="0"/>
              <w:tabs>
                <w:tab w:val="left" w:pos="5562"/>
              </w:tabs>
              <w:spacing w:after="0"/>
              <w:ind w:right="33"/>
              <w:jc w:val="center"/>
              <w:textAlignment w:val="baseline"/>
              <w:rPr>
                <w:b/>
                <w:iCs/>
                <w:sz w:val="22"/>
                <w:szCs w:val="22"/>
                <w:lang w:eastAsia="en-US"/>
              </w:rPr>
            </w:pPr>
            <w:r>
              <w:rPr>
                <w:rFonts w:eastAsia="MS Mincho"/>
                <w:b/>
                <w:iCs/>
                <w:sz w:val="22"/>
                <w:szCs w:val="22"/>
                <w:lang w:eastAsia="en-US"/>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szCs w:val="22"/>
                <w:lang w:eastAsia="en-US"/>
              </w:rPr>
              <w:t>Conforme Decreto nº. 052/2021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68/2021 </w:t>
      </w:r>
    </w:p>
    <w:p>
      <w:pPr>
        <w:keepNext/>
        <w:spacing w:after="0" w:line="240" w:lineRule="auto"/>
        <w:ind w:right="-568"/>
        <w:jc w:val="center"/>
        <w:outlineLvl w:val="5"/>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ANEXO IV</w:t>
      </w:r>
    </w:p>
    <w:p>
      <w:pPr>
        <w:overflowPunct w:val="0"/>
        <w:autoSpaceDE w:val="0"/>
        <w:autoSpaceDN w:val="0"/>
        <w:adjustRightInd w:val="0"/>
        <w:spacing w:after="0" w:line="240" w:lineRule="auto"/>
        <w:textAlignment w:val="baseline"/>
        <w:rPr>
          <w:rFonts w:eastAsia="Arial Unicode MS"/>
          <w:szCs w:val="20"/>
          <w:lang w:eastAsia="pt-BR"/>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hint="default" w:eastAsia="Times New Roman"/>
          <w:b/>
          <w:iCs/>
          <w:sz w:val="24"/>
          <w:szCs w:val="24"/>
          <w:lang w:val="pt-BR"/>
        </w:rPr>
      </w:pPr>
      <w:r>
        <w:rPr>
          <w:rFonts w:eastAsia="Times New Roman"/>
          <w:b/>
          <w:iCs/>
          <w:sz w:val="24"/>
          <w:szCs w:val="24"/>
        </w:rPr>
        <w:t>MINUTA DO CONTRATO Nº. ____/</w:t>
      </w:r>
      <w:r>
        <w:rPr>
          <w:rFonts w:hint="default" w:eastAsia="Times New Roman"/>
          <w:b/>
          <w:iCs/>
          <w:sz w:val="24"/>
          <w:szCs w:val="24"/>
          <w:lang w:val="pt-BR"/>
        </w:rPr>
        <w:t>_____</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  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r>
      <w:r>
        <w:rPr>
          <w:rFonts w:eastAsia="Times New Roman"/>
          <w:iCs/>
          <w:sz w:val="24"/>
          <w:szCs w:val="24"/>
        </w:rPr>
        <w:t xml:space="preserve">CONTRATANTE: PREFEITURA DE NAVIRAÍ, Pessoa Jurídica de Direito Público Interno, </w:t>
      </w:r>
      <w:r>
        <w:rPr>
          <w:rFonts w:eastAsia="Times New Roman"/>
          <w:iCs/>
          <w:sz w:val="24"/>
          <w:szCs w:val="24"/>
          <w:highlight w:val="yellow"/>
        </w:rPr>
        <w:t>com sede a Praça Prefeito Euclides Antônio Fabris n.º 343, inscrita no CGC/MF sob o n.º 03.155.934/0001-90</w:t>
      </w:r>
      <w:r>
        <w:rPr>
          <w:rFonts w:eastAsia="Times New Roman"/>
          <w:iCs/>
          <w:sz w:val="24"/>
          <w:szCs w:val="24"/>
        </w:rPr>
        <w:t xml:space="preserve">, </w:t>
      </w:r>
      <w:r>
        <w:rPr>
          <w:rFonts w:eastAsia="Times New Roman"/>
          <w:iCs/>
          <w:sz w:val="24"/>
          <w:szCs w:val="24"/>
          <w:highlight w:val="yellow"/>
        </w:rPr>
        <w:t>por meio do Fundo Municipal de Saúde, com sede a Avenida Amélia Fukuda nº. 100, inscrito no CGC/MF sob o n.º 11.221.619/0001-42</w:t>
      </w:r>
      <w:r>
        <w:rPr>
          <w:rFonts w:eastAsia="Times New Roman"/>
          <w:iCs/>
          <w:sz w:val="24"/>
          <w:szCs w:val="24"/>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r>
      <w:r>
        <w:rPr>
          <w:rFonts w:eastAsia="Times New Roman"/>
          <w:iCs/>
          <w:sz w:val="24"/>
          <w:szCs w:val="24"/>
        </w:rPr>
        <w:t xml:space="preserve"> REPRESENTANTES: Representa a CONTRATANTE </w:t>
      </w:r>
      <w:r>
        <w:rPr>
          <w:b/>
          <w:iCs/>
          <w:sz w:val="22"/>
          <w:szCs w:val="22"/>
          <w:u w:val="single"/>
        </w:rPr>
        <w:t>Marcio Grei Alves Vidal de Figueiredo</w:t>
      </w:r>
      <w:r>
        <w:rPr>
          <w:iCs/>
          <w:sz w:val="22"/>
          <w:szCs w:val="22"/>
        </w:rPr>
        <w:t>, Gerente de Saúde e Ordenador de Despesas conforme Decreto nº. 052/2021, brasileiro, portador do CPF/MF nº. 613.705.841-72 e Cédula de Identidade RG nº. 828.899 SSP/MS, residente e domiciliado nesta cidade a Rua Riachuelo nº 450 – Centro</w:t>
      </w:r>
      <w:r>
        <w:rPr>
          <w:rFonts w:eastAsia="Times New Roman"/>
          <w:sz w:val="24"/>
          <w:szCs w:val="24"/>
        </w:rPr>
        <w:t xml:space="preserve">. </w:t>
      </w:r>
      <w:r>
        <w:rPr>
          <w:rFonts w:eastAsia="Times New Roman"/>
          <w:iCs/>
          <w:sz w:val="24"/>
          <w:szCs w:val="24"/>
        </w:rPr>
        <w:t>,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Pr>
          <w:rFonts w:eastAsia="Times New Roman"/>
          <w:b/>
          <w:iCs/>
          <w:sz w:val="24"/>
          <w:szCs w:val="24"/>
          <w:lang w:eastAsia="pt-BR"/>
        </w:rPr>
        <w:t>Processo Licitatório nº. 121/2021</w:t>
      </w:r>
      <w:r>
        <w:rPr>
          <w:rFonts w:eastAsia="Times New Roman"/>
          <w:iCs/>
          <w:sz w:val="24"/>
          <w:szCs w:val="24"/>
          <w:lang w:eastAsia="pt-BR"/>
        </w:rPr>
        <w:t xml:space="preserve">, gerado pelo </w:t>
      </w:r>
      <w:r>
        <w:rPr>
          <w:rFonts w:eastAsia="Times New Roman"/>
          <w:b/>
          <w:iCs/>
          <w:sz w:val="24"/>
          <w:szCs w:val="24"/>
          <w:lang w:eastAsia="pt-BR"/>
        </w:rPr>
        <w:t>Pregão Presencial nº. 68/2021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r>
        <w:rPr>
          <w:rFonts w:eastAsia="Times New Roman"/>
          <w:iCs/>
          <w:sz w:val="24"/>
          <w:szCs w:val="24"/>
          <w:lang w:eastAsia="pt-BR"/>
        </w:rPr>
        <w:t>................,que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PARÁGRAFO ÚNICO: Cada Gerente subscreve este contrato com a responsabilidade adstrita ao quantitativo adquirido por sua respectiva </w:t>
      </w:r>
      <w:r>
        <w:rPr>
          <w:rFonts w:eastAsia="Times New Roman"/>
          <w:iCs/>
          <w:sz w:val="24"/>
          <w:szCs w:val="24"/>
          <w:lang w:val="pt-BR"/>
        </w:rPr>
        <w:t>Gerência</w:t>
      </w:r>
      <w:r>
        <w:rPr>
          <w:rFonts w:eastAsia="Times New Roman"/>
          <w:iCs/>
          <w:sz w:val="24"/>
          <w:szCs w:val="24"/>
        </w:rPr>
        <w:t>.</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widowControl w:val="0"/>
        <w:numPr>
          <w:ilvl w:val="1"/>
          <w:numId w:val="4"/>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rPr>
        <w:t xml:space="preserve"> CONTRATAÇÃO  DE EMPRESA ESPECIALIZADA EM REPARAÇÃO DE ARTIGOS MOBILIÁRIOS E REFORMA DE ESTOFADOS, CONFORME TERMO DE REFERÊNCIA PARA ATENDER A GERÊNCIA DE SAÚDE DO MUNICIPAL DE NAVIRAÍ/MS. PEDIDOS DE SERVIÇO Nº 178/2021, 179/2021, 180/2021, 181/2021.</w:t>
      </w: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Cs/>
          <w:color w:val="FF0000"/>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Aplicar as sanções administrativas contratuais pertinentes, em caso de inadimplemento.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 xml:space="preserve">CLÁUSULA TERCEIRA - </w:t>
      </w:r>
      <w:r>
        <w:rPr>
          <w:rFonts w:hint="default" w:eastAsia="Times New Roman"/>
          <w:b/>
          <w:bCs/>
          <w:sz w:val="24"/>
          <w:szCs w:val="24"/>
          <w:lang w:val="en-US" w:eastAsia="pt-BR"/>
        </w:rPr>
        <w:t>FORMA DE PRESTAÇÃO DE SERVIÇO: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jc w:val="both"/>
        <w:textAlignment w:val="baseline"/>
        <w:rPr>
          <w:rFonts w:eastAsia="Times New Roman"/>
          <w:sz w:val="24"/>
          <w:szCs w:val="24"/>
          <w:highlight w:val="none"/>
        </w:rPr>
      </w:pPr>
      <w:r>
        <w:rPr>
          <w:rFonts w:eastAsia="Times New Roman"/>
          <w:b/>
          <w:bCs/>
          <w:sz w:val="24"/>
          <w:szCs w:val="24"/>
        </w:rPr>
        <w:t>3.1</w:t>
      </w:r>
      <w:r>
        <w:rPr>
          <w:rFonts w:eastAsia="Times New Roman"/>
          <w:sz w:val="24"/>
          <w:szCs w:val="24"/>
        </w:rPr>
        <w:t xml:space="preserve"> – Os itens licitados serão solicitados conforme a necessidade da Gerência, e deverão ser entregues no </w:t>
      </w:r>
      <w:r>
        <w:rPr>
          <w:rFonts w:hint="default" w:eastAsia="Times New Roman"/>
          <w:sz w:val="24"/>
          <w:szCs w:val="24"/>
          <w:lang w:val="pt-BR"/>
        </w:rPr>
        <w:t>Local indicado na ordem de compra/serviço</w:t>
      </w:r>
      <w:r>
        <w:rPr>
          <w:rFonts w:eastAsia="Times New Roman"/>
          <w:sz w:val="24"/>
          <w:szCs w:val="24"/>
        </w:rPr>
        <w:t xml:space="preserve">, pelo prazo máximo de </w:t>
      </w:r>
      <w:r>
        <w:rPr>
          <w:rFonts w:eastAsia="Times New Roman"/>
          <w:sz w:val="24"/>
          <w:szCs w:val="24"/>
          <w:highlight w:val="none"/>
        </w:rPr>
        <w:t>10 (dez) dias úteis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3.4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ind w:right="-618"/>
        <w:jc w:val="both"/>
        <w:textAlignment w:val="baseline"/>
        <w:rPr>
          <w:rFonts w:eastAsia="Times New Roman"/>
          <w:iCs/>
          <w:sz w:val="24"/>
          <w:szCs w:val="24"/>
        </w:rPr>
      </w:pP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r>
        <w:rPr>
          <w:rFonts w:hint="default" w:eastAsia="Times New Roman"/>
          <w:b/>
          <w:bCs/>
          <w:iCs/>
          <w:sz w:val="24"/>
          <w:szCs w:val="24"/>
          <w:lang w:val="pt-BR"/>
        </w:rPr>
        <w:t>3.5 - TERMO DE REFERÊNCIA</w:t>
      </w: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r>
        <w:drawing>
          <wp:inline distT="0" distB="0" distL="114300" distR="114300">
            <wp:extent cx="6024245" cy="7258050"/>
            <wp:effectExtent l="0" t="0" r="14605" b="0"/>
            <wp:docPr id="1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
                    <pic:cNvPicPr>
                      <a:picLocks noChangeAspect="1"/>
                    </pic:cNvPicPr>
                  </pic:nvPicPr>
                  <pic:blipFill>
                    <a:blip r:embed="rId9"/>
                    <a:stretch>
                      <a:fillRect/>
                    </a:stretch>
                  </pic:blipFill>
                  <pic:spPr>
                    <a:xfrm>
                      <a:off x="0" y="0"/>
                      <a:ext cx="6024245" cy="7258050"/>
                    </a:xfrm>
                    <a:prstGeom prst="rect">
                      <a:avLst/>
                    </a:prstGeom>
                    <a:noFill/>
                    <a:ln>
                      <a:noFill/>
                    </a:ln>
                  </pic:spPr>
                </pic:pic>
              </a:graphicData>
            </a:graphic>
          </wp:inline>
        </w:drawing>
      </w: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r>
        <w:drawing>
          <wp:inline distT="0" distB="0" distL="114300" distR="114300">
            <wp:extent cx="5792470" cy="8128635"/>
            <wp:effectExtent l="0" t="0" r="17780" b="5715"/>
            <wp:docPr id="1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3"/>
                    <pic:cNvPicPr>
                      <a:picLocks noChangeAspect="1"/>
                    </pic:cNvPicPr>
                  </pic:nvPicPr>
                  <pic:blipFill>
                    <a:blip r:embed="rId10"/>
                    <a:srcRect l="424" t="-416" r="294" b="1893"/>
                    <a:stretch>
                      <a:fillRect/>
                    </a:stretch>
                  </pic:blipFill>
                  <pic:spPr>
                    <a:xfrm>
                      <a:off x="0" y="0"/>
                      <a:ext cx="5792470" cy="8128635"/>
                    </a:xfrm>
                    <a:prstGeom prst="rect">
                      <a:avLst/>
                    </a:prstGeom>
                    <a:noFill/>
                    <a:ln>
                      <a:noFill/>
                    </a:ln>
                  </pic:spPr>
                </pic:pic>
              </a:graphicData>
            </a:graphic>
          </wp:inline>
        </w:drawing>
      </w: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r>
        <w:drawing>
          <wp:inline distT="0" distB="0" distL="114300" distR="114300">
            <wp:extent cx="5888355" cy="8100695"/>
            <wp:effectExtent l="0" t="0" r="17145" b="14605"/>
            <wp:docPr id="1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4"/>
                    <pic:cNvPicPr>
                      <a:picLocks noChangeAspect="1"/>
                    </pic:cNvPicPr>
                  </pic:nvPicPr>
                  <pic:blipFill>
                    <a:blip r:embed="rId11"/>
                    <a:srcRect l="-925" t="1816"/>
                    <a:stretch>
                      <a:fillRect/>
                    </a:stretch>
                  </pic:blipFill>
                  <pic:spPr>
                    <a:xfrm>
                      <a:off x="0" y="0"/>
                      <a:ext cx="5888355" cy="8100695"/>
                    </a:xfrm>
                    <a:prstGeom prst="rect">
                      <a:avLst/>
                    </a:prstGeom>
                    <a:noFill/>
                    <a:ln>
                      <a:noFill/>
                    </a:ln>
                  </pic:spPr>
                </pic:pic>
              </a:graphicData>
            </a:graphic>
          </wp:inline>
        </w:drawing>
      </w:r>
    </w:p>
    <w:p>
      <w:pPr>
        <w:keepNext/>
        <w:spacing w:after="0" w:line="240" w:lineRule="auto"/>
        <w:ind w:right="-618"/>
        <w:jc w:val="both"/>
        <w:outlineLvl w:val="2"/>
        <w:rPr>
          <w:rFonts w:eastAsia="Times New Roman"/>
          <w:b/>
          <w:iCs/>
          <w:sz w:val="24"/>
          <w:szCs w:val="24"/>
          <w:lang w:eastAsia="pt-BR"/>
        </w:rPr>
      </w:pPr>
    </w:p>
    <w:p>
      <w:pPr>
        <w:keepNext/>
        <w:spacing w:after="0" w:line="240" w:lineRule="auto"/>
        <w:ind w:right="-618"/>
        <w:jc w:val="both"/>
        <w:outlineLvl w:val="2"/>
        <w:rPr>
          <w:rFonts w:eastAsia="Times New Roman"/>
          <w:b/>
          <w:iCs/>
          <w:sz w:val="24"/>
          <w:szCs w:val="24"/>
          <w:lang w:eastAsia="pt-BR"/>
        </w:rPr>
      </w:pPr>
      <w:r>
        <w:drawing>
          <wp:inline distT="0" distB="0" distL="114300" distR="114300">
            <wp:extent cx="5834380" cy="8250555"/>
            <wp:effectExtent l="0" t="0" r="13970" b="17145"/>
            <wp:docPr id="1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5"/>
                    <pic:cNvPicPr>
                      <a:picLocks noChangeAspect="1"/>
                    </pic:cNvPicPr>
                  </pic:nvPicPr>
                  <pic:blipFill>
                    <a:blip r:embed="rId12"/>
                    <a:stretch>
                      <a:fillRect/>
                    </a:stretch>
                  </pic:blipFill>
                  <pic:spPr>
                    <a:xfrm>
                      <a:off x="0" y="0"/>
                      <a:ext cx="5834380" cy="8250555"/>
                    </a:xfrm>
                    <a:prstGeom prst="rect">
                      <a:avLst/>
                    </a:prstGeom>
                    <a:noFill/>
                    <a:ln>
                      <a:noFill/>
                    </a:ln>
                  </pic:spPr>
                </pic:pic>
              </a:graphicData>
            </a:graphic>
          </wp:inline>
        </w:drawing>
      </w:r>
    </w:p>
    <w:p>
      <w:pPr>
        <w:keepNext/>
        <w:spacing w:after="0" w:line="240" w:lineRule="auto"/>
        <w:ind w:right="-618"/>
        <w:jc w:val="both"/>
        <w:outlineLvl w:val="2"/>
        <w:rPr>
          <w:rFonts w:eastAsia="Times New Roman"/>
          <w:b/>
          <w:iCs/>
          <w:sz w:val="24"/>
          <w:szCs w:val="24"/>
          <w:lang w:eastAsia="pt-BR"/>
        </w:rPr>
      </w:pPr>
      <w:r>
        <w:drawing>
          <wp:inline distT="0" distB="0" distL="114300" distR="114300">
            <wp:extent cx="5834380" cy="8250555"/>
            <wp:effectExtent l="0" t="0" r="13970" b="17145"/>
            <wp:docPr id="1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6"/>
                    <pic:cNvPicPr>
                      <a:picLocks noChangeAspect="1"/>
                    </pic:cNvPicPr>
                  </pic:nvPicPr>
                  <pic:blipFill>
                    <a:blip r:embed="rId13"/>
                    <a:srcRect l="882" t="-1370" r="-882" b="1370"/>
                    <a:stretch>
                      <a:fillRect/>
                    </a:stretch>
                  </pic:blipFill>
                  <pic:spPr>
                    <a:xfrm>
                      <a:off x="0" y="0"/>
                      <a:ext cx="5834380" cy="8250555"/>
                    </a:xfrm>
                    <a:prstGeom prst="rect">
                      <a:avLst/>
                    </a:prstGeom>
                    <a:noFill/>
                    <a:ln>
                      <a:noFill/>
                    </a:ln>
                  </pic:spPr>
                </pic:pic>
              </a:graphicData>
            </a:graphic>
          </wp:inline>
        </w:drawing>
      </w:r>
    </w:p>
    <w:p>
      <w:pPr>
        <w:keepNext/>
        <w:spacing w:after="0" w:line="240" w:lineRule="auto"/>
        <w:ind w:right="-618"/>
        <w:jc w:val="both"/>
        <w:outlineLvl w:val="2"/>
        <w:rPr>
          <w:rFonts w:eastAsia="Times New Roman"/>
          <w:b/>
          <w:iCs/>
          <w:sz w:val="24"/>
          <w:szCs w:val="24"/>
          <w:lang w:eastAsia="pt-BR"/>
        </w:rPr>
      </w:pPr>
      <w:r>
        <w:drawing>
          <wp:inline distT="0" distB="0" distL="114300" distR="114300">
            <wp:extent cx="5801360" cy="8100060"/>
            <wp:effectExtent l="0" t="0" r="8890" b="15240"/>
            <wp:docPr id="1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7"/>
                    <pic:cNvPicPr>
                      <a:picLocks noChangeAspect="1"/>
                    </pic:cNvPicPr>
                  </pic:nvPicPr>
                  <pic:blipFill>
                    <a:blip r:embed="rId14"/>
                    <a:srcRect l="566" t="1824"/>
                    <a:stretch>
                      <a:fillRect/>
                    </a:stretch>
                  </pic:blipFill>
                  <pic:spPr>
                    <a:xfrm>
                      <a:off x="0" y="0"/>
                      <a:ext cx="5801360" cy="8100060"/>
                    </a:xfrm>
                    <a:prstGeom prst="rect">
                      <a:avLst/>
                    </a:prstGeom>
                    <a:noFill/>
                    <a:ln>
                      <a:noFill/>
                    </a:ln>
                  </pic:spPr>
                </pic:pic>
              </a:graphicData>
            </a:graphic>
          </wp:inline>
        </w:drawing>
      </w:r>
    </w:p>
    <w:p>
      <w:pPr>
        <w:keepNext/>
        <w:spacing w:after="0" w:line="240" w:lineRule="auto"/>
        <w:ind w:right="-618"/>
        <w:jc w:val="both"/>
        <w:outlineLvl w:val="2"/>
        <w:rPr>
          <w:rFonts w:eastAsia="Times New Roman"/>
          <w:b/>
          <w:iCs/>
          <w:sz w:val="24"/>
          <w:szCs w:val="24"/>
          <w:lang w:eastAsia="pt-BR"/>
        </w:rPr>
      </w:pPr>
      <w:r>
        <w:drawing>
          <wp:inline distT="0" distB="0" distL="114300" distR="114300">
            <wp:extent cx="5834380" cy="8250555"/>
            <wp:effectExtent l="0" t="0" r="13970" b="17145"/>
            <wp:docPr id="1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8"/>
                    <pic:cNvPicPr>
                      <a:picLocks noChangeAspect="1"/>
                    </pic:cNvPicPr>
                  </pic:nvPicPr>
                  <pic:blipFill>
                    <a:blip r:embed="rId15"/>
                    <a:srcRect l="325" t="-2956"/>
                    <a:stretch>
                      <a:fillRect/>
                    </a:stretch>
                  </pic:blipFill>
                  <pic:spPr>
                    <a:xfrm>
                      <a:off x="0" y="0"/>
                      <a:ext cx="5834380" cy="8250555"/>
                    </a:xfrm>
                    <a:prstGeom prst="rect">
                      <a:avLst/>
                    </a:prstGeom>
                    <a:noFill/>
                    <a:ln>
                      <a:noFill/>
                    </a:ln>
                  </pic:spPr>
                </pic:pic>
              </a:graphicData>
            </a:graphic>
          </wp:inline>
        </w:drawing>
      </w:r>
    </w:p>
    <w:p>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QUARTA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4.1.</w:t>
      </w:r>
      <w:r>
        <w:rPr>
          <w:rFonts w:eastAsia="Times New Roman"/>
          <w:iCs/>
          <w:sz w:val="24"/>
          <w:szCs w:val="24"/>
        </w:rPr>
        <w:t xml:space="preserve"> O valor global do fornecimento, ora contratado é de R$ .............. ( ............................... ), fixo e irreajustável, correspondente ao seguinte item:</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Style w:val="12"/>
        <w:tblW w:w="9210"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567"/>
        <w:gridCol w:w="633"/>
        <w:gridCol w:w="3119"/>
        <w:gridCol w:w="992"/>
        <w:gridCol w:w="1134"/>
        <w:gridCol w:w="851"/>
        <w:gridCol w:w="1134"/>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20" w:hRule="atLeast"/>
        </w:trPr>
        <w:tc>
          <w:tcPr>
            <w:tcW w:w="567"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Item</w:t>
            </w:r>
          </w:p>
        </w:tc>
        <w:tc>
          <w:tcPr>
            <w:tcW w:w="63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Cód.</w:t>
            </w: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Descrição do Item</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Marca</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Unid</w:t>
            </w:r>
          </w:p>
        </w:tc>
        <w:tc>
          <w:tcPr>
            <w:tcW w:w="85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Qte</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Unitário</w:t>
            </w:r>
          </w:p>
        </w:tc>
        <w:tc>
          <w:tcPr>
            <w:tcW w:w="7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19" w:hRule="atLeast"/>
        </w:trPr>
        <w:tc>
          <w:tcPr>
            <w:tcW w:w="56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r>
    </w:tbl>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4.2.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b/>
          <w:iCs/>
          <w:sz w:val="24"/>
          <w:szCs w:val="24"/>
        </w:rPr>
        <w:t>4.3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4.4 -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4.5</w:t>
      </w:r>
      <w:r>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4.6</w:t>
      </w:r>
      <w:r>
        <w:rPr>
          <w:rFonts w:eastAsia="Times New Roman"/>
          <w:iCs/>
          <w:sz w:val="24"/>
          <w:szCs w:val="24"/>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4.7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sz w:val="24"/>
          <w:szCs w:val="24"/>
        </w:rPr>
        <w:t>4.7.1</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4.7.2</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Estadual por meio da apresentação de Certidão Negativa ou Positiva com efeito de Negativa;</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4.7.5</w:t>
      </w:r>
      <w:r>
        <w:rPr>
          <w:rFonts w:eastAsia="Times New Roman"/>
          <w:sz w:val="24"/>
          <w:szCs w:val="24"/>
        </w:rPr>
        <w:t xml:space="preserve"> </w:t>
      </w:r>
      <w:r>
        <w:rPr>
          <w:rFonts w:eastAsia="Times New Roman"/>
          <w:sz w:val="24"/>
          <w:szCs w:val="24"/>
        </w:rPr>
        <w:tab/>
      </w:r>
      <w:r>
        <w:rPr>
          <w:rFonts w:eastAsia="Times New Roman"/>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QUINTA - DO PREÇO E DO REAJUSTE: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hint="default" w:eastAsia="Times New Roman"/>
          <w:iCs/>
          <w:sz w:val="24"/>
          <w:szCs w:val="24"/>
          <w:lang w:val="pt-BR"/>
        </w:rPr>
      </w:pPr>
      <w:r>
        <w:rPr>
          <w:rFonts w:eastAsia="Times New Roman"/>
          <w:b/>
          <w:bCs/>
          <w:iCs/>
          <w:sz w:val="24"/>
          <w:szCs w:val="24"/>
        </w:rPr>
        <w:t>5.1</w:t>
      </w:r>
      <w:r>
        <w:rPr>
          <w:rFonts w:eastAsia="Times New Roman"/>
          <w:iCs/>
          <w:sz w:val="24"/>
          <w:szCs w:val="24"/>
        </w:rPr>
        <w:t xml:space="preserve"> – Os preços deverão ser expressos em reais e de conformidade com o inciso I, subitem 7.1 do edital, fixo e irreajustável</w:t>
      </w:r>
      <w:r>
        <w:rPr>
          <w:rFonts w:hint="default" w:eastAsia="Times New Roman"/>
          <w:iCs/>
          <w:sz w:val="24"/>
          <w:szCs w:val="24"/>
          <w:lang w:val="pt-BR"/>
        </w:rPr>
        <w:t xml:space="preserve">, </w:t>
      </w:r>
      <w:r>
        <w:rPr>
          <w:b/>
          <w:iCs/>
          <w:sz w:val="22"/>
          <w:u w:val="single"/>
        </w:rPr>
        <w:t>exceto</w:t>
      </w:r>
      <w:r>
        <w:rPr>
          <w:b/>
          <w:iCs/>
          <w:sz w:val="22"/>
        </w:rPr>
        <w:t xml:space="preserve"> </w:t>
      </w:r>
      <w:r>
        <w:rPr>
          <w:iCs/>
          <w:sz w:val="22"/>
        </w:rPr>
        <w:t xml:space="preserve">se por algum motivo devidamente justificado, os </w:t>
      </w:r>
      <w:r>
        <w:rPr>
          <w:b/>
          <w:iCs/>
          <w:sz w:val="22"/>
        </w:rPr>
        <w:t>itens</w:t>
      </w:r>
      <w:r>
        <w:rPr>
          <w:iCs/>
          <w:sz w:val="22"/>
        </w:rPr>
        <w:t xml:space="preserve"> sofrerem alterações por fatos supervenientes alheio a vontade do contratado, </w:t>
      </w:r>
      <w:r>
        <w:rPr>
          <w:b/>
          <w:iCs/>
          <w:sz w:val="22"/>
        </w:rPr>
        <w:t xml:space="preserve">poderá </w:t>
      </w:r>
      <w:r>
        <w:rPr>
          <w:iCs/>
          <w:sz w:val="22"/>
        </w:rPr>
        <w:t xml:space="preserve">ser reajustada/reequilibrado de acordo com o artigo 40, inciso XI,  </w:t>
      </w:r>
      <w:r>
        <w:rPr>
          <w:bCs/>
          <w:sz w:val="22"/>
        </w:rPr>
        <w:t xml:space="preserve"> art. 55, inc. III, bem como o art. 65 </w:t>
      </w:r>
      <w:r>
        <w:rPr>
          <w:iCs/>
          <w:sz w:val="22"/>
        </w:rPr>
        <w:t>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 – </w:t>
      </w:r>
      <w:r>
        <w:rPr>
          <w:rFonts w:eastAsia="Times New Roman"/>
          <w:iCs/>
          <w:sz w:val="24"/>
          <w:szCs w:val="24"/>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5.3 - </w:t>
      </w:r>
      <w:r>
        <w:rPr>
          <w:rFonts w:eastAsia="Times New Roman"/>
          <w:iCs/>
          <w:sz w:val="24"/>
          <w:szCs w:val="24"/>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Cs/>
          <w:sz w:val="24"/>
          <w:szCs w:val="24"/>
        </w:rPr>
      </w:pPr>
    </w:p>
    <w:p>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SEXTA - DO PRAZO</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6.1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CLÁUSULA SÉTIMA – RECURSO ORÇAMENTÁRIO:</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eastAsia="Times New Roman"/>
          <w:b/>
          <w:bCs/>
          <w:iCs/>
          <w:color w:val="000000"/>
          <w:sz w:val="24"/>
          <w:szCs w:val="24"/>
        </w:rPr>
        <w:t>7.1.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r>
        <w:rPr>
          <w:rFonts w:eastAsia="Times New Roman"/>
          <w:b/>
          <w:bCs/>
          <w:iCs/>
          <w:color w:val="000000"/>
          <w:sz w:val="24"/>
          <w:szCs w:val="24"/>
        </w:rPr>
        <w:t>.</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OITAVA - DAS PENALIDADES: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8.1</w:t>
      </w:r>
      <w:r>
        <w:rPr>
          <w:rFonts w:eastAsia="Times New Roman"/>
          <w:iCs/>
          <w:sz w:val="24"/>
          <w:szCs w:val="24"/>
        </w:rPr>
        <w:t xml:space="preserve"> </w:t>
      </w:r>
      <w:r>
        <w:rPr>
          <w:rFonts w:eastAsia="Times New Roman"/>
          <w:sz w:val="24"/>
          <w:szCs w:val="24"/>
        </w:rPr>
        <w:t xml:space="preserve"> </w:t>
      </w:r>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bCs/>
          <w:iCs/>
          <w:sz w:val="24"/>
          <w:szCs w:val="24"/>
          <w:lang w:eastAsia="pt-BR"/>
        </w:rPr>
      </w:pPr>
      <w:r>
        <w:rPr>
          <w:rFonts w:eastAsia="Times New Roman"/>
          <w:b/>
          <w:bCs/>
          <w:iCs/>
          <w:sz w:val="24"/>
          <w:szCs w:val="24"/>
          <w:lang w:eastAsia="pt-BR"/>
        </w:rPr>
        <w:t>8.2.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18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pPr>
        <w:spacing w:after="0" w:line="240" w:lineRule="auto"/>
        <w:ind w:left="90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Suspensão temporária de participar de licitação e impedimento de contratar com a Administração por prazo não superior a 2 (dois) anos e,</w:t>
      </w:r>
    </w:p>
    <w:p>
      <w:pPr>
        <w:spacing w:after="0" w:line="240" w:lineRule="auto"/>
        <w:ind w:left="180"/>
        <w:jc w:val="both"/>
        <w:rPr>
          <w:rFonts w:eastAsia="Times New Roman"/>
          <w:bCs/>
          <w:iCs/>
          <w:sz w:val="24"/>
          <w:szCs w:val="24"/>
          <w:lang w:eastAsia="pt-BR"/>
        </w:rPr>
      </w:pPr>
      <w:r>
        <w:rPr>
          <w:rFonts w:eastAsia="Times New Roman"/>
          <w:bCs/>
          <w:iCs/>
          <w:sz w:val="24"/>
          <w:szCs w:val="24"/>
          <w:lang w:eastAsia="pt-BR"/>
        </w:rPr>
        <w:t>IV- declaração de inidoneidade para licitar ou contratar com a Administração Pública.</w:t>
      </w:r>
    </w:p>
    <w:p>
      <w:pPr>
        <w:spacing w:after="0" w:line="240" w:lineRule="auto"/>
        <w:jc w:val="both"/>
        <w:rPr>
          <w:rFonts w:eastAsia="Times New Roman"/>
          <w:bCs/>
          <w:iCs/>
          <w:sz w:val="24"/>
          <w:szCs w:val="24"/>
          <w:lang w:eastAsia="pt-BR"/>
        </w:rPr>
      </w:pPr>
    </w:p>
    <w:p>
      <w:pPr>
        <w:spacing w:after="0" w:line="240" w:lineRule="auto"/>
        <w:jc w:val="both"/>
        <w:rPr>
          <w:rFonts w:eastAsia="Times New Roman"/>
          <w:iCs/>
          <w:sz w:val="24"/>
          <w:szCs w:val="24"/>
          <w:lang w:eastAsia="pt-BR"/>
        </w:rPr>
      </w:pPr>
      <w:r>
        <w:rPr>
          <w:rFonts w:eastAsia="Times New Roman"/>
          <w:b/>
          <w:bCs/>
          <w:iCs/>
          <w:sz w:val="24"/>
          <w:szCs w:val="24"/>
          <w:lang w:eastAsia="pt-BR"/>
        </w:rPr>
        <w:t>8.3.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Cs/>
          <w:sz w:val="24"/>
          <w:szCs w:val="24"/>
          <w:lang w:eastAsia="pt-BR"/>
        </w:rPr>
        <w:t>5 (cinco) anos</w:t>
      </w:r>
      <w:r>
        <w:rPr>
          <w:rFonts w:eastAsia="Times New Roman"/>
          <w:iCs/>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8.4.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CLÁUSULA NONA - DA RESCISÃO CONTRATUAL</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9.1</w:t>
      </w:r>
      <w:r>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jc w:val="both"/>
        <w:outlineLvl w:val="4"/>
        <w:rPr>
          <w:rFonts w:eastAsia="Times New Roman"/>
          <w:b/>
          <w:iCs/>
          <w:sz w:val="24"/>
          <w:szCs w:val="24"/>
          <w:lang w:eastAsia="pt-BR"/>
        </w:rPr>
      </w:pPr>
    </w:p>
    <w:p>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 - DA PUBLICAÇÃO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PRIMEIRA – DA FISCALIZAÇÃO DO CONTRATO</w:t>
      </w:r>
    </w:p>
    <w:p>
      <w:pPr>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 xml:space="preserve">11.1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SEGUNDA - DO FORO</w:t>
      </w: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pPr>
        <w:spacing w:after="0" w:line="240" w:lineRule="auto"/>
        <w:jc w:val="both"/>
        <w:rPr>
          <w:rFonts w:eastAsia="Times New Roman"/>
          <w:iCs/>
          <w:sz w:val="24"/>
          <w:szCs w:val="24"/>
          <w:lang w:eastAsia="pt-BR"/>
        </w:rPr>
      </w:pPr>
      <w:r>
        <w:rPr>
          <w:rFonts w:eastAsia="Times New Roman"/>
          <w:b/>
          <w:bCs/>
          <w:iCs/>
          <w:sz w:val="24"/>
          <w:szCs w:val="24"/>
          <w:lang w:eastAsia="pt-BR"/>
        </w:rPr>
        <w:t>12.1.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Cs/>
          <w:sz w:val="24"/>
          <w:szCs w:val="24"/>
          <w:lang w:eastAsia="pt-BR"/>
        </w:rPr>
      </w:pPr>
    </w:p>
    <w:p>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spacing w:after="0"/>
              <w:ind w:right="33"/>
              <w:jc w:val="center"/>
              <w:textAlignment w:val="baseline"/>
              <w:rPr>
                <w:b/>
                <w:iCs/>
                <w:sz w:val="22"/>
                <w:szCs w:val="22"/>
                <w:lang w:eastAsia="en-US"/>
              </w:rPr>
            </w:pPr>
            <w:r>
              <w:rPr>
                <w:b/>
                <w:bCs/>
                <w:sz w:val="22"/>
              </w:rPr>
              <w:t>MÁRCIO GREI ALVES VIDAL DE FIGUEIREDO</w:t>
            </w:r>
          </w:p>
          <w:p>
            <w:pPr>
              <w:widowControl w:val="0"/>
              <w:tabs>
                <w:tab w:val="left" w:pos="5562"/>
              </w:tabs>
              <w:spacing w:after="0"/>
              <w:ind w:right="33"/>
              <w:jc w:val="center"/>
              <w:textAlignment w:val="baseline"/>
              <w:rPr>
                <w:b/>
                <w:iCs/>
                <w:sz w:val="22"/>
                <w:szCs w:val="22"/>
                <w:lang w:eastAsia="en-US"/>
              </w:rPr>
            </w:pPr>
            <w:r>
              <w:rPr>
                <w:rFonts w:eastAsia="MS Mincho"/>
                <w:b/>
                <w:iCs/>
                <w:sz w:val="22"/>
                <w:szCs w:val="22"/>
                <w:lang w:eastAsia="en-US"/>
              </w:rPr>
              <w:t>Gerente de Saúde e Ordenador de Despesas</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szCs w:val="22"/>
                <w:lang w:eastAsia="en-US"/>
              </w:rPr>
              <w:t>Conforme Decreto nº. 052/2021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bl>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68/2021</w:t>
      </w:r>
    </w:p>
    <w:p>
      <w:pPr>
        <w:overflowPunct w:val="0"/>
        <w:autoSpaceDE w:val="0"/>
        <w:autoSpaceDN w:val="0"/>
        <w:adjustRightInd w:val="0"/>
        <w:spacing w:after="0" w:line="240" w:lineRule="auto"/>
        <w:jc w:val="center"/>
        <w:textAlignment w:val="baseline"/>
        <w:rPr>
          <w:rFonts w:eastAsia="Times New Roman"/>
          <w:sz w:val="24"/>
          <w:szCs w:val="24"/>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pPr>
        <w:keepNext/>
        <w:tabs>
          <w:tab w:val="left" w:pos="3870"/>
          <w:tab w:val="center" w:pos="4868"/>
        </w:tabs>
        <w:spacing w:after="0" w:line="240" w:lineRule="auto"/>
        <w:outlineLvl w:val="5"/>
        <w:rPr>
          <w:rFonts w:eastAsia="Times New Roman"/>
          <w:sz w:val="24"/>
          <w:szCs w:val="24"/>
          <w:lang w:eastAsia="pt-BR"/>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r>
        <w:rPr>
          <w:rFonts w:eastAsia="Times New Roman"/>
          <w:sz w:val="24"/>
          <w:szCs w:val="24"/>
          <w:lang w:eastAsia="pt-BR"/>
        </w:rPr>
        <w:t>ANEXO V</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pPr>
        <w:overflowPunct w:val="0"/>
        <w:autoSpaceDE w:val="0"/>
        <w:autoSpaceDN w:val="0"/>
        <w:adjustRightInd w:val="0"/>
        <w:spacing w:after="0" w:line="240" w:lineRule="auto"/>
        <w:jc w:val="center"/>
        <w:textAlignment w:val="baseline"/>
        <w:rPr>
          <w:rFonts w:eastAsia="Times New Roman"/>
          <w:b/>
          <w:bCs/>
          <w:sz w:val="24"/>
          <w:szCs w:val="24"/>
          <w:u w:val="single"/>
        </w:rPr>
      </w:pPr>
    </w:p>
    <w:p>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Local e Data __________________, ____ de _____________________ de _________</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68/2021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68/2021</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r>
      <w:r>
        <w:rPr>
          <w:rFonts w:eastAsia="Times New Roman"/>
          <w:sz w:val="24"/>
          <w:szCs w:val="24"/>
        </w:rPr>
        <w:t>ANEXO VII</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w:t>
      </w:r>
      <w:r>
        <w:rPr>
          <w:rFonts w:hint="default" w:eastAsia="Times New Roman"/>
          <w:sz w:val="24"/>
          <w:szCs w:val="24"/>
          <w:lang w:val="pt-BR"/>
        </w:rPr>
        <w:t xml:space="preserve"> 068/2021</w:t>
      </w:r>
      <w:r>
        <w:rPr>
          <w:rFonts w:eastAsia="Times New Roman"/>
          <w:sz w:val="24"/>
          <w:szCs w:val="24"/>
        </w:rPr>
        <w:t xml:space="preserve"> da Administração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68/2021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VIII</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68/2021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IX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DECLARAÇÃO DE CONHECIMENTO E ACEITAÇÃO DO TEOR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Pr>
          <w:rFonts w:hint="default" w:eastAsia="Times New Roman"/>
          <w:b/>
          <w:bCs/>
          <w:sz w:val="24"/>
          <w:szCs w:val="24"/>
          <w:lang w:val="pt-BR"/>
        </w:rPr>
        <w:t>068/2021</w:t>
      </w:r>
      <w:r>
        <w:rPr>
          <w:rFonts w:eastAsia="Times New Roman"/>
          <w:sz w:val="24"/>
          <w:szCs w:val="24"/>
        </w:rPr>
        <w:t>, ressalvado o direito recursal, bem como de que recebeu todos os documentos e informações necessárias para o cumprimento integral das obrigações desta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sectPr>
      <w:pgSz w:w="11907" w:h="16840"/>
      <w:pgMar w:top="1536" w:right="913" w:bottom="709" w:left="1797" w:header="284" w:footer="459" w:gutter="0"/>
      <w:cols w:space="0" w:num="1"/>
      <w:rtlGutter w:val="0"/>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MS Mincho">
    <w:panose1 w:val="02020609040205080304"/>
    <w:charset w:val="80"/>
    <w:family w:val="modern"/>
    <w:pitch w:val="default"/>
    <w:sig w:usb0="A00002BF" w:usb1="68C7FCFB" w:usb2="00000010" w:usb3="00000000" w:csb0="4002009F" w:csb1="DFD70000"/>
  </w:font>
  <w:font w:name="Arial Unicode MS">
    <w:altName w:val="Arial"/>
    <w:panose1 w:val="020B0604020202020204"/>
    <w:charset w:val="00"/>
    <w:family w:val="roman"/>
    <w:pitch w:val="default"/>
    <w:sig w:usb0="00000000" w:usb1="00000000" w:usb2="00000000" w:usb3="00000000" w:csb0="00000001" w:csb1="00000000"/>
  </w:font>
  <w:font w:name="Palatino">
    <w:altName w:val="Palatino Linotype"/>
    <w:panose1 w:val="02040602050305020304"/>
    <w:charset w:val="00"/>
    <w:family w:val="roman"/>
    <w:pitch w:val="default"/>
    <w:sig w:usb0="00000000" w:usb1="00000000" w:usb2="00000000" w:usb3="00000000" w:csb0="00000000" w:csb1="00000000"/>
  </w:font>
  <w:font w:name="Garamond">
    <w:altName w:val="PMingLiU-ExtB"/>
    <w:panose1 w:val="02020404030301010803"/>
    <w:charset w:val="00"/>
    <w:family w:val="roman"/>
    <w:pitch w:val="default"/>
    <w:sig w:usb0="00000000" w:usb1="00000000" w:usb2="00000000" w:usb3="00000000" w:csb0="0000009F" w:csb1="00000000"/>
  </w:font>
  <w:font w:name="David">
    <w:altName w:val="Segoe Print"/>
    <w:panose1 w:val="020E0502060401010101"/>
    <w:charset w:val="B1"/>
    <w:family w:val="swiss"/>
    <w:pitch w:val="default"/>
    <w:sig w:usb0="00000000" w:usb1="00000000" w:usb2="00000000" w:usb3="00000000" w:csb0="00000020"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 w:name="Palatino Linotype">
    <w:panose1 w:val="02040502050505030304"/>
    <w:charset w:val="00"/>
    <w:family w:val="auto"/>
    <w:pitch w:val="default"/>
    <w:sig w:usb0="E0000287" w:usb1="40000013"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page" w:x="6142" w:y="347"/>
      <w:rPr>
        <w:rStyle w:val="15"/>
        <w:sz w:val="16"/>
      </w:rPr>
    </w:pPr>
    <w:r>
      <w:rPr>
        <w:rStyle w:val="15"/>
        <w:sz w:val="16"/>
      </w:rPr>
      <w:fldChar w:fldCharType="begin"/>
    </w:r>
    <w:r>
      <w:rPr>
        <w:rStyle w:val="15"/>
        <w:sz w:val="16"/>
      </w:rPr>
      <w:instrText xml:space="preserve">PAGE  </w:instrText>
    </w:r>
    <w:r>
      <w:rPr>
        <w:rStyle w:val="15"/>
        <w:sz w:val="16"/>
      </w:rPr>
      <w:fldChar w:fldCharType="separate"/>
    </w:r>
    <w:r>
      <w:rPr>
        <w:rStyle w:val="15"/>
        <w:sz w:val="16"/>
      </w:rPr>
      <w:t>1</w:t>
    </w:r>
    <w:r>
      <w:rPr>
        <w:rStyle w:val="15"/>
        <w:sz w:val="16"/>
      </w:rPr>
      <w:fldChar w:fldCharType="end"/>
    </w:r>
  </w:p>
  <w:p>
    <w:pPr>
      <w:pStyle w:val="23"/>
      <w:tabs>
        <w:tab w:val="right" w:pos="8222"/>
        <w:tab w:val="clear" w:pos="8838"/>
      </w:tabs>
      <w:spacing w:before="60"/>
      <w:ind w:right="-805" w:hanging="1418"/>
      <w:jc w:val="center"/>
      <w:rPr>
        <w:rFonts w:ascii="Arial" w:hAnsi="Arial"/>
        <w:sz w:val="20"/>
      </w:rPr>
    </w:pPr>
    <w:r>
      <w:rPr>
        <w:rFonts w:ascii="Garamond" w:hAnsi="Garamond"/>
        <w:b/>
        <w:iCs/>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0.5pt;height:0.05pt;width:453.55pt;z-index:251659264;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Praça Prefeito Euclides Antônio Fabris, 343 – Telefax (0**67) 3409-1500 – Cep 79950-000 – e-mail: pregaonavirai@gmail.com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Pr>
    </w:pPr>
    <w:r>
      <w:rPr>
        <w:rStyle w:val="15"/>
      </w:rPr>
      <w:fldChar w:fldCharType="begin"/>
    </w:r>
    <w:r>
      <w:rPr>
        <w:rStyle w:val="15"/>
      </w:rPr>
      <w:instrText xml:space="preserve">PAGE  </w:instrText>
    </w:r>
    <w:r>
      <w:rPr>
        <w:rStyle w:val="15"/>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241"/>
      <w:jc w:val="center"/>
      <w:rPr>
        <w:rFonts w:ascii="Garamond" w:hAnsi="Garamond" w:cs="Garamond"/>
        <w:b/>
        <w:bCs/>
        <w:sz w:val="26"/>
        <w:szCs w:val="26"/>
      </w:rPr>
    </w:pPr>
    <w: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pPr>
      <w:pStyle w:val="22"/>
      <w:ind w:right="-241"/>
      <w:jc w:val="center"/>
      <w:rPr>
        <w:rFonts w:ascii="Garamond" w:hAnsi="Garamond" w:cs="Garamond"/>
        <w:b/>
        <w:bCs/>
        <w:sz w:val="26"/>
        <w:szCs w:val="26"/>
      </w:rPr>
    </w:pPr>
    <w:r>
      <w:rPr>
        <w:rFonts w:ascii="Garamond" w:hAnsi="Garamond" w:cs="Garamond"/>
        <w:b/>
        <w:bCs/>
        <w:sz w:val="26"/>
        <w:szCs w:val="26"/>
      </w:rPr>
      <w:t>ESTADO DE MATO GROSSO DO SUL</w:t>
    </w:r>
  </w:p>
  <w:p>
    <w:pPr>
      <w:pStyle w:val="22"/>
      <w:ind w:right="-241"/>
      <w:jc w:val="center"/>
      <w:rPr>
        <w:rFonts w:ascii="Garamond" w:hAnsi="Garamond" w:cs="Garamond"/>
        <w:b/>
        <w:bCs/>
        <w:sz w:val="26"/>
        <w:szCs w:val="26"/>
      </w:rPr>
    </w:pPr>
    <w:r>
      <w:rPr>
        <w:rFonts w:ascii="Garamond" w:hAnsi="Garamond" w:cs="Garamond"/>
        <w:b/>
        <w:bCs/>
        <w:sz w:val="26"/>
        <w:szCs w:val="26"/>
      </w:rPr>
      <w:t>GERÊNCIA DE FINANÇAS</w:t>
    </w:r>
  </w:p>
  <w:p>
    <w:pPr>
      <w:pStyle w:val="22"/>
      <w:ind w:right="-241"/>
      <w:jc w:val="center"/>
      <w:rPr>
        <w:rFonts w:cs="David"/>
        <w:b/>
      </w:rPr>
    </w:pPr>
    <w: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5.9pt;height:0.05pt;width:595.3pt;z-index:251661312;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1">
    <w:nsid w:val="200D43A8"/>
    <w:multiLevelType w:val="multilevel"/>
    <w:tmpl w:val="200D43A8"/>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2">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3">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4">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7CBB"/>
    <w:rsid w:val="00427CBB"/>
    <w:rsid w:val="005A691A"/>
    <w:rsid w:val="00684941"/>
    <w:rsid w:val="01063AC5"/>
    <w:rsid w:val="02457AAE"/>
    <w:rsid w:val="1F9B1DA3"/>
    <w:rsid w:val="24377F0B"/>
    <w:rsid w:val="296C2E72"/>
    <w:rsid w:val="335E4D4C"/>
    <w:rsid w:val="764809CC"/>
    <w:rsid w:val="7C4E0AB4"/>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28"/>
    <w:qFormat/>
    <w:uiPriority w:val="0"/>
    <w:pPr>
      <w:keepNext/>
      <w:spacing w:after="0" w:line="240" w:lineRule="auto"/>
      <w:jc w:val="center"/>
      <w:outlineLvl w:val="0"/>
    </w:pPr>
    <w:rPr>
      <w:rFonts w:ascii="Arial" w:hAnsi="Arial" w:eastAsia="Times New Roman" w:cs="Arial"/>
      <w:i/>
      <w:szCs w:val="20"/>
      <w:lang w:eastAsia="pt-BR"/>
    </w:rPr>
  </w:style>
  <w:style w:type="paragraph" w:styleId="3">
    <w:name w:val="heading 2"/>
    <w:basedOn w:val="1"/>
    <w:next w:val="1"/>
    <w:link w:val="29"/>
    <w:qFormat/>
    <w:uiPriority w:val="0"/>
    <w:pPr>
      <w:keepNext/>
      <w:spacing w:after="0" w:line="240" w:lineRule="auto"/>
      <w:jc w:val="both"/>
      <w:outlineLvl w:val="1"/>
    </w:pPr>
    <w:rPr>
      <w:rFonts w:ascii="Arial" w:hAnsi="Arial" w:eastAsia="Times New Roman" w:cs="Arial"/>
      <w:i/>
      <w:color w:val="FF0000"/>
      <w:sz w:val="24"/>
      <w:szCs w:val="20"/>
      <w:lang w:eastAsia="pt-BR"/>
    </w:rPr>
  </w:style>
  <w:style w:type="paragraph" w:styleId="4">
    <w:name w:val="heading 3"/>
    <w:basedOn w:val="1"/>
    <w:next w:val="1"/>
    <w:link w:val="30"/>
    <w:qFormat/>
    <w:uiPriority w:val="0"/>
    <w:pPr>
      <w:keepNext/>
      <w:spacing w:after="0" w:line="240" w:lineRule="auto"/>
      <w:ind w:left="-567" w:right="-765"/>
      <w:jc w:val="both"/>
      <w:outlineLvl w:val="2"/>
    </w:pPr>
    <w:rPr>
      <w:rFonts w:ascii="Arial" w:hAnsi="Arial" w:eastAsia="Times New Roman"/>
      <w:b/>
      <w:color w:val="FF0000"/>
      <w:sz w:val="22"/>
      <w:szCs w:val="20"/>
      <w:lang w:eastAsia="pt-BR"/>
    </w:rPr>
  </w:style>
  <w:style w:type="paragraph" w:styleId="5">
    <w:name w:val="heading 4"/>
    <w:basedOn w:val="1"/>
    <w:next w:val="1"/>
    <w:link w:val="31"/>
    <w:qFormat/>
    <w:uiPriority w:val="0"/>
    <w:pPr>
      <w:keepNext/>
      <w:spacing w:after="0" w:line="240" w:lineRule="auto"/>
      <w:ind w:left="-567" w:right="-765"/>
      <w:jc w:val="both"/>
      <w:outlineLvl w:val="3"/>
    </w:pPr>
    <w:rPr>
      <w:rFonts w:ascii="Arial" w:hAnsi="Arial" w:eastAsia="Times New Roman"/>
      <w:b/>
      <w:sz w:val="22"/>
      <w:szCs w:val="20"/>
      <w:lang w:eastAsia="pt-BR"/>
    </w:rPr>
  </w:style>
  <w:style w:type="paragraph" w:styleId="6">
    <w:name w:val="heading 5"/>
    <w:basedOn w:val="1"/>
    <w:next w:val="1"/>
    <w:link w:val="32"/>
    <w:qFormat/>
    <w:uiPriority w:val="0"/>
    <w:pPr>
      <w:keepNext/>
      <w:tabs>
        <w:tab w:val="left" w:pos="0"/>
      </w:tabs>
      <w:spacing w:after="0" w:line="240" w:lineRule="auto"/>
      <w:ind w:left="-567" w:right="-1134"/>
      <w:jc w:val="both"/>
      <w:outlineLvl w:val="4"/>
    </w:pPr>
    <w:rPr>
      <w:rFonts w:ascii="Arial" w:hAnsi="Arial" w:eastAsia="Times New Roman"/>
      <w:b/>
      <w:sz w:val="22"/>
      <w:szCs w:val="20"/>
      <w:lang w:eastAsia="pt-BR"/>
    </w:rPr>
  </w:style>
  <w:style w:type="paragraph" w:styleId="7">
    <w:name w:val="heading 6"/>
    <w:basedOn w:val="1"/>
    <w:next w:val="1"/>
    <w:link w:val="33"/>
    <w:qFormat/>
    <w:uiPriority w:val="0"/>
    <w:pPr>
      <w:keepNext/>
      <w:spacing w:after="0" w:line="240" w:lineRule="auto"/>
      <w:jc w:val="both"/>
      <w:outlineLvl w:val="5"/>
    </w:pPr>
    <w:rPr>
      <w:rFonts w:ascii="Arial" w:hAnsi="Arial" w:eastAsia="Times New Roman" w:cs="Arial"/>
      <w:i/>
      <w:sz w:val="24"/>
      <w:szCs w:val="20"/>
      <w:lang w:eastAsia="pt-BR"/>
    </w:rPr>
  </w:style>
  <w:style w:type="paragraph" w:styleId="8">
    <w:name w:val="heading 7"/>
    <w:basedOn w:val="1"/>
    <w:next w:val="1"/>
    <w:link w:val="34"/>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cs="Arial"/>
      <w:b/>
      <w:bCs/>
      <w:sz w:val="21"/>
      <w:szCs w:val="20"/>
    </w:rPr>
  </w:style>
  <w:style w:type="paragraph" w:styleId="9">
    <w:name w:val="heading 8"/>
    <w:basedOn w:val="1"/>
    <w:next w:val="1"/>
    <w:link w:val="35"/>
    <w:qFormat/>
    <w:uiPriority w:val="0"/>
    <w:pPr>
      <w:keepNext/>
      <w:spacing w:after="0" w:line="240" w:lineRule="auto"/>
      <w:jc w:val="center"/>
      <w:outlineLvl w:val="7"/>
    </w:pPr>
    <w:rPr>
      <w:rFonts w:ascii="Arial" w:hAnsi="Arial" w:eastAsia="Times New Roman" w:cs="Arial"/>
      <w:i/>
      <w:sz w:val="24"/>
      <w:szCs w:val="20"/>
      <w:lang w:eastAsia="pt-BR"/>
    </w:rPr>
  </w:style>
  <w:style w:type="paragraph" w:styleId="10">
    <w:name w:val="heading 9"/>
    <w:basedOn w:val="1"/>
    <w:next w:val="1"/>
    <w:link w:val="36"/>
    <w:qFormat/>
    <w:uiPriority w:val="0"/>
    <w:pPr>
      <w:keepNext/>
      <w:spacing w:after="0" w:line="240" w:lineRule="auto"/>
      <w:jc w:val="center"/>
      <w:outlineLvl w:val="8"/>
    </w:pPr>
    <w:rPr>
      <w:rFonts w:ascii="Arial" w:hAnsi="Arial" w:eastAsia="Times New Roman" w:cs="Arial"/>
      <w:i/>
      <w:sz w:val="28"/>
      <w:szCs w:val="20"/>
      <w:lang w:eastAsia="pt-BR"/>
    </w:rPr>
  </w:style>
  <w:style w:type="character" w:default="1" w:styleId="11">
    <w:name w:val="Default Paragraph Font"/>
    <w:semiHidden/>
    <w:unhideWhenUsed/>
    <w:qFormat/>
    <w:uiPriority w:val="1"/>
  </w:style>
  <w:style w:type="table" w:default="1" w:styleId="12">
    <w:name w:val="Normal Table"/>
    <w:semiHidden/>
    <w:unhideWhenUsed/>
    <w:uiPriority w:val="99"/>
    <w:tblPr>
      <w:tblCellMar>
        <w:top w:w="0" w:type="dxa"/>
        <w:left w:w="108" w:type="dxa"/>
        <w:bottom w:w="0" w:type="dxa"/>
        <w:right w:w="108" w:type="dxa"/>
      </w:tblCellMar>
    </w:tblPr>
  </w:style>
  <w:style w:type="character" w:styleId="13">
    <w:name w:val="FollowedHyperlink"/>
    <w:qFormat/>
    <w:uiPriority w:val="0"/>
    <w:rPr>
      <w:color w:val="800080"/>
      <w:u w:val="single"/>
    </w:rPr>
  </w:style>
  <w:style w:type="character" w:styleId="14">
    <w:name w:val="Hyperlink"/>
    <w:qFormat/>
    <w:uiPriority w:val="0"/>
    <w:rPr>
      <w:color w:val="0000FF"/>
      <w:u w:val="single"/>
    </w:rPr>
  </w:style>
  <w:style w:type="character" w:styleId="15">
    <w:name w:val="page number"/>
    <w:basedOn w:val="11"/>
    <w:qFormat/>
    <w:uiPriority w:val="0"/>
  </w:style>
  <w:style w:type="paragraph" w:styleId="16">
    <w:name w:val="Body Text"/>
    <w:basedOn w:val="1"/>
    <w:link w:val="40"/>
    <w:qFormat/>
    <w:uiPriority w:val="0"/>
    <w:pPr>
      <w:spacing w:after="0" w:line="240" w:lineRule="auto"/>
      <w:jc w:val="both"/>
    </w:pPr>
    <w:rPr>
      <w:rFonts w:eastAsia="Times New Roman"/>
      <w:sz w:val="24"/>
      <w:szCs w:val="24"/>
      <w:lang w:eastAsia="pt-BR"/>
    </w:rPr>
  </w:style>
  <w:style w:type="paragraph" w:styleId="17">
    <w:name w:val="Block Text"/>
    <w:basedOn w:val="1"/>
    <w:qFormat/>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42"/>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cs="Arial"/>
      <w:sz w:val="23"/>
      <w:szCs w:val="20"/>
      <w:lang w:eastAsia="pt-BR"/>
    </w:rPr>
  </w:style>
  <w:style w:type="paragraph" w:styleId="19">
    <w:name w:val="Title"/>
    <w:basedOn w:val="1"/>
    <w:link w:val="38"/>
    <w:qFormat/>
    <w:uiPriority w:val="0"/>
    <w:pPr>
      <w:spacing w:after="0" w:line="240" w:lineRule="auto"/>
      <w:jc w:val="center"/>
    </w:pPr>
    <w:rPr>
      <w:rFonts w:ascii="Arial" w:hAnsi="Arial" w:eastAsia="Times New Roman" w:cs="Arial"/>
      <w:b/>
      <w:bCs/>
      <w:sz w:val="21"/>
      <w:szCs w:val="24"/>
      <w:lang w:eastAsia="pt-BR"/>
    </w:rPr>
  </w:style>
  <w:style w:type="paragraph" w:styleId="20">
    <w:name w:val="Body Text 3"/>
    <w:basedOn w:val="1"/>
    <w:link w:val="41"/>
    <w:qFormat/>
    <w:uiPriority w:val="0"/>
    <w:pPr>
      <w:spacing w:after="0" w:line="240" w:lineRule="auto"/>
      <w:ind w:right="-142"/>
      <w:jc w:val="both"/>
    </w:pPr>
    <w:rPr>
      <w:rFonts w:ascii="Arial" w:hAnsi="Arial" w:eastAsia="Times New Roman"/>
      <w:sz w:val="24"/>
      <w:szCs w:val="24"/>
      <w:lang w:eastAsia="pt-BR"/>
    </w:rPr>
  </w:style>
  <w:style w:type="paragraph" w:styleId="21">
    <w:name w:val="Body Text 2"/>
    <w:basedOn w:val="1"/>
    <w:link w:val="44"/>
    <w:qFormat/>
    <w:uiPriority w:val="0"/>
    <w:pPr>
      <w:spacing w:after="0" w:line="240" w:lineRule="auto"/>
      <w:jc w:val="both"/>
    </w:pPr>
    <w:rPr>
      <w:rFonts w:ascii="Arial" w:hAnsi="Arial" w:eastAsia="Times New Roman" w:cs="Arial"/>
      <w:i/>
      <w:szCs w:val="20"/>
      <w:lang w:eastAsia="pt-BR"/>
    </w:rPr>
  </w:style>
  <w:style w:type="paragraph" w:styleId="22">
    <w:name w:val="header"/>
    <w:basedOn w:val="1"/>
    <w:link w:val="43"/>
    <w:qFormat/>
    <w:uiPriority w:val="0"/>
    <w:pPr>
      <w:tabs>
        <w:tab w:val="center" w:pos="4419"/>
        <w:tab w:val="right" w:pos="8838"/>
      </w:tabs>
      <w:spacing w:after="0" w:line="240" w:lineRule="auto"/>
    </w:pPr>
    <w:rPr>
      <w:rFonts w:eastAsia="Times New Roman"/>
      <w:sz w:val="24"/>
      <w:szCs w:val="24"/>
      <w:lang w:eastAsia="pt-BR"/>
    </w:rPr>
  </w:style>
  <w:style w:type="paragraph" w:styleId="23">
    <w:name w:val="footer"/>
    <w:basedOn w:val="1"/>
    <w:link w:val="37"/>
    <w:qFormat/>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rPr>
  </w:style>
  <w:style w:type="paragraph" w:styleId="24">
    <w:name w:val="Body Text Indent 3"/>
    <w:basedOn w:val="1"/>
    <w:link w:val="46"/>
    <w:qFormat/>
    <w:uiPriority w:val="0"/>
    <w:pPr>
      <w:spacing w:after="0" w:line="240" w:lineRule="auto"/>
      <w:ind w:left="400"/>
      <w:jc w:val="both"/>
    </w:pPr>
    <w:rPr>
      <w:rFonts w:ascii="Arial" w:hAnsi="Arial" w:eastAsia="Times New Roman" w:cs="Arial"/>
      <w:bCs/>
      <w:sz w:val="21"/>
      <w:szCs w:val="20"/>
    </w:rPr>
  </w:style>
  <w:style w:type="paragraph" w:styleId="25">
    <w:name w:val="Subtitle"/>
    <w:basedOn w:val="1"/>
    <w:link w:val="57"/>
    <w:qFormat/>
    <w:uiPriority w:val="99"/>
    <w:pPr>
      <w:spacing w:after="0" w:line="240" w:lineRule="auto"/>
      <w:ind w:left="-142" w:right="-1"/>
    </w:pPr>
    <w:rPr>
      <w:rFonts w:eastAsia="Times New Roman"/>
      <w:b/>
      <w:sz w:val="23"/>
      <w:szCs w:val="20"/>
      <w:lang w:val="zh-CN" w:eastAsia="zh-CN"/>
    </w:rPr>
  </w:style>
  <w:style w:type="paragraph" w:styleId="26">
    <w:name w:val="Body Text Indent"/>
    <w:basedOn w:val="1"/>
    <w:link w:val="39"/>
    <w:qFormat/>
    <w:uiPriority w:val="0"/>
    <w:pPr>
      <w:spacing w:after="0" w:line="240" w:lineRule="auto"/>
      <w:jc w:val="both"/>
    </w:pPr>
    <w:rPr>
      <w:rFonts w:eastAsia="Times New Roman"/>
      <w:snapToGrid w:val="0"/>
      <w:sz w:val="22"/>
      <w:szCs w:val="20"/>
      <w:lang w:eastAsia="pt-BR"/>
    </w:rPr>
  </w:style>
  <w:style w:type="table" w:styleId="27">
    <w:name w:val="Table Grid"/>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8">
    <w:name w:val="Título 1 Char"/>
    <w:basedOn w:val="11"/>
    <w:link w:val="2"/>
    <w:uiPriority w:val="0"/>
    <w:rPr>
      <w:rFonts w:ascii="Arial" w:hAnsi="Arial" w:eastAsia="Times New Roman" w:cs="Arial"/>
      <w:i/>
      <w:sz w:val="20"/>
      <w:szCs w:val="20"/>
      <w:lang w:eastAsia="pt-BR"/>
    </w:rPr>
  </w:style>
  <w:style w:type="character" w:customStyle="1" w:styleId="29">
    <w:name w:val="Título 2 Char"/>
    <w:basedOn w:val="11"/>
    <w:link w:val="3"/>
    <w:qFormat/>
    <w:uiPriority w:val="0"/>
    <w:rPr>
      <w:rFonts w:ascii="Arial" w:hAnsi="Arial" w:eastAsia="Times New Roman" w:cs="Arial"/>
      <w:i/>
      <w:color w:val="FF0000"/>
      <w:sz w:val="24"/>
      <w:szCs w:val="20"/>
      <w:lang w:eastAsia="pt-BR"/>
    </w:rPr>
  </w:style>
  <w:style w:type="character" w:customStyle="1" w:styleId="30">
    <w:name w:val="Título 3 Char"/>
    <w:basedOn w:val="11"/>
    <w:link w:val="4"/>
    <w:qFormat/>
    <w:uiPriority w:val="0"/>
    <w:rPr>
      <w:rFonts w:ascii="Arial" w:hAnsi="Arial" w:eastAsia="Times New Roman" w:cs="Times New Roman"/>
      <w:b/>
      <w:color w:val="FF0000"/>
      <w:szCs w:val="20"/>
      <w:lang w:eastAsia="pt-BR"/>
    </w:rPr>
  </w:style>
  <w:style w:type="character" w:customStyle="1" w:styleId="31">
    <w:name w:val="Título 4 Char"/>
    <w:basedOn w:val="11"/>
    <w:link w:val="5"/>
    <w:qFormat/>
    <w:uiPriority w:val="0"/>
    <w:rPr>
      <w:rFonts w:ascii="Arial" w:hAnsi="Arial" w:eastAsia="Times New Roman" w:cs="Times New Roman"/>
      <w:b/>
      <w:szCs w:val="20"/>
      <w:lang w:eastAsia="pt-BR"/>
    </w:rPr>
  </w:style>
  <w:style w:type="character" w:customStyle="1" w:styleId="32">
    <w:name w:val="Título 5 Char"/>
    <w:basedOn w:val="11"/>
    <w:link w:val="6"/>
    <w:qFormat/>
    <w:uiPriority w:val="0"/>
    <w:rPr>
      <w:rFonts w:ascii="Arial" w:hAnsi="Arial" w:eastAsia="Times New Roman" w:cs="Times New Roman"/>
      <w:b/>
      <w:szCs w:val="20"/>
      <w:lang w:eastAsia="pt-BR"/>
    </w:rPr>
  </w:style>
  <w:style w:type="character" w:customStyle="1" w:styleId="33">
    <w:name w:val="Título 6 Char"/>
    <w:basedOn w:val="11"/>
    <w:link w:val="7"/>
    <w:qFormat/>
    <w:uiPriority w:val="0"/>
    <w:rPr>
      <w:rFonts w:ascii="Arial" w:hAnsi="Arial" w:eastAsia="Times New Roman" w:cs="Arial"/>
      <w:i/>
      <w:sz w:val="24"/>
      <w:szCs w:val="20"/>
      <w:lang w:eastAsia="pt-BR"/>
    </w:rPr>
  </w:style>
  <w:style w:type="character" w:customStyle="1" w:styleId="34">
    <w:name w:val="Título 7 Char"/>
    <w:basedOn w:val="11"/>
    <w:link w:val="8"/>
    <w:qFormat/>
    <w:uiPriority w:val="0"/>
    <w:rPr>
      <w:rFonts w:ascii="Arial" w:hAnsi="Arial" w:eastAsia="Times New Roman" w:cs="Arial"/>
      <w:b/>
      <w:bCs/>
      <w:sz w:val="21"/>
      <w:szCs w:val="20"/>
    </w:rPr>
  </w:style>
  <w:style w:type="character" w:customStyle="1" w:styleId="35">
    <w:name w:val="Título 8 Char"/>
    <w:basedOn w:val="11"/>
    <w:link w:val="9"/>
    <w:qFormat/>
    <w:uiPriority w:val="0"/>
    <w:rPr>
      <w:rFonts w:ascii="Arial" w:hAnsi="Arial" w:eastAsia="Times New Roman" w:cs="Arial"/>
      <w:i/>
      <w:sz w:val="24"/>
      <w:szCs w:val="20"/>
      <w:lang w:eastAsia="pt-BR"/>
    </w:rPr>
  </w:style>
  <w:style w:type="character" w:customStyle="1" w:styleId="36">
    <w:name w:val="Título 9 Char"/>
    <w:basedOn w:val="11"/>
    <w:link w:val="10"/>
    <w:qFormat/>
    <w:uiPriority w:val="0"/>
    <w:rPr>
      <w:rFonts w:ascii="Arial" w:hAnsi="Arial" w:eastAsia="Times New Roman" w:cs="Arial"/>
      <w:i/>
      <w:sz w:val="28"/>
      <w:szCs w:val="20"/>
      <w:lang w:eastAsia="pt-BR"/>
    </w:rPr>
  </w:style>
  <w:style w:type="character" w:customStyle="1" w:styleId="37">
    <w:name w:val="Rodapé Char"/>
    <w:basedOn w:val="11"/>
    <w:link w:val="23"/>
    <w:qFormat/>
    <w:uiPriority w:val="0"/>
    <w:rPr>
      <w:rFonts w:ascii="Courier (W1)" w:hAnsi="Courier (W1)" w:eastAsia="Times New Roman" w:cs="Times New Roman"/>
      <w:color w:val="000000"/>
      <w:sz w:val="24"/>
      <w:szCs w:val="20"/>
    </w:rPr>
  </w:style>
  <w:style w:type="character" w:customStyle="1" w:styleId="38">
    <w:name w:val="Título Char"/>
    <w:basedOn w:val="11"/>
    <w:link w:val="19"/>
    <w:qFormat/>
    <w:uiPriority w:val="0"/>
    <w:rPr>
      <w:rFonts w:ascii="Arial" w:hAnsi="Arial" w:eastAsia="Times New Roman" w:cs="Arial"/>
      <w:b/>
      <w:bCs/>
      <w:sz w:val="21"/>
      <w:szCs w:val="24"/>
      <w:lang w:eastAsia="pt-BR"/>
    </w:rPr>
  </w:style>
  <w:style w:type="character" w:customStyle="1" w:styleId="39">
    <w:name w:val="Recuo de corpo de texto Char"/>
    <w:basedOn w:val="11"/>
    <w:link w:val="26"/>
    <w:qFormat/>
    <w:uiPriority w:val="0"/>
    <w:rPr>
      <w:rFonts w:ascii="Times New Roman" w:hAnsi="Times New Roman" w:eastAsia="Times New Roman" w:cs="Times New Roman"/>
      <w:snapToGrid w:val="0"/>
      <w:szCs w:val="20"/>
      <w:lang w:eastAsia="pt-BR"/>
    </w:rPr>
  </w:style>
  <w:style w:type="character" w:customStyle="1" w:styleId="40">
    <w:name w:val="Corpo de texto Char"/>
    <w:basedOn w:val="11"/>
    <w:link w:val="16"/>
    <w:uiPriority w:val="0"/>
    <w:rPr>
      <w:rFonts w:ascii="Times New Roman" w:hAnsi="Times New Roman" w:eastAsia="Times New Roman" w:cs="Times New Roman"/>
      <w:sz w:val="24"/>
      <w:szCs w:val="24"/>
      <w:lang w:eastAsia="pt-BR"/>
    </w:rPr>
  </w:style>
  <w:style w:type="character" w:customStyle="1" w:styleId="41">
    <w:name w:val="Corpo de texto 3 Char"/>
    <w:basedOn w:val="11"/>
    <w:link w:val="20"/>
    <w:qFormat/>
    <w:uiPriority w:val="0"/>
    <w:rPr>
      <w:rFonts w:ascii="Arial" w:hAnsi="Arial" w:eastAsia="Times New Roman" w:cs="Times New Roman"/>
      <w:sz w:val="24"/>
      <w:szCs w:val="24"/>
      <w:lang w:eastAsia="pt-BR"/>
    </w:rPr>
  </w:style>
  <w:style w:type="character" w:customStyle="1" w:styleId="42">
    <w:name w:val="Recuo de corpo de texto 2 Char"/>
    <w:basedOn w:val="11"/>
    <w:link w:val="18"/>
    <w:qFormat/>
    <w:uiPriority w:val="0"/>
    <w:rPr>
      <w:rFonts w:ascii="Arial" w:hAnsi="Arial" w:eastAsia="Times New Roman" w:cs="Arial"/>
      <w:sz w:val="23"/>
      <w:szCs w:val="20"/>
      <w:lang w:eastAsia="pt-BR"/>
    </w:rPr>
  </w:style>
  <w:style w:type="character" w:customStyle="1" w:styleId="43">
    <w:name w:val="Cabeçalho Char"/>
    <w:basedOn w:val="11"/>
    <w:link w:val="22"/>
    <w:qFormat/>
    <w:uiPriority w:val="0"/>
    <w:rPr>
      <w:rFonts w:ascii="Times New Roman" w:hAnsi="Times New Roman" w:eastAsia="Times New Roman" w:cs="Times New Roman"/>
      <w:sz w:val="24"/>
      <w:szCs w:val="24"/>
      <w:lang w:eastAsia="pt-BR"/>
    </w:rPr>
  </w:style>
  <w:style w:type="character" w:customStyle="1" w:styleId="44">
    <w:name w:val="Corpo de texto 2 Char"/>
    <w:basedOn w:val="11"/>
    <w:link w:val="21"/>
    <w:qFormat/>
    <w:uiPriority w:val="0"/>
    <w:rPr>
      <w:rFonts w:ascii="Arial" w:hAnsi="Arial" w:eastAsia="Times New Roman" w:cs="Arial"/>
      <w:i/>
      <w:sz w:val="20"/>
      <w:szCs w:val="20"/>
      <w:lang w:eastAsia="pt-BR"/>
    </w:rPr>
  </w:style>
  <w:style w:type="paragraph" w:customStyle="1" w:styleId="45">
    <w:name w:val="Divisão de Tabelas"/>
    <w:basedOn w:val="1"/>
    <w:qFormat/>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6">
    <w:name w:val="Recuo de corpo de texto 3 Char"/>
    <w:basedOn w:val="11"/>
    <w:link w:val="24"/>
    <w:qFormat/>
    <w:uiPriority w:val="0"/>
    <w:rPr>
      <w:rFonts w:ascii="Arial" w:hAnsi="Arial" w:eastAsia="Times New Roman" w:cs="Arial"/>
      <w:bCs/>
      <w:sz w:val="21"/>
      <w:szCs w:val="20"/>
    </w:rPr>
  </w:style>
  <w:style w:type="paragraph" w:customStyle="1" w:styleId="47">
    <w:name w:val="msonormal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48">
    <w:name w:val="msolistparagraph"/>
    <w:basedOn w:val="1"/>
    <w:qFormat/>
    <w:uiPriority w:val="0"/>
    <w:pPr>
      <w:ind w:left="720"/>
      <w:contextualSpacing/>
    </w:pPr>
    <w:rPr>
      <w:rFonts w:eastAsia="Times New Roman"/>
      <w:szCs w:val="20"/>
    </w:rPr>
  </w:style>
  <w:style w:type="paragraph" w:customStyle="1" w:styleId="49">
    <w:name w:val="msonormalcxspmiddlecxspmiddle"/>
    <w:basedOn w:val="1"/>
    <w:qFormat/>
    <w:uiPriority w:val="0"/>
    <w:pPr>
      <w:spacing w:before="100" w:beforeAutospacing="1" w:after="100" w:afterAutospacing="1" w:line="240" w:lineRule="auto"/>
    </w:pPr>
    <w:rPr>
      <w:rFonts w:eastAsia="Times New Roman"/>
      <w:sz w:val="24"/>
      <w:szCs w:val="24"/>
      <w:lang w:eastAsia="pt-BR"/>
    </w:rPr>
  </w:style>
  <w:style w:type="paragraph" w:styleId="50">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51">
    <w:name w:val="Corpo de texto Char2"/>
    <w:qFormat/>
    <w:uiPriority w:val="0"/>
    <w:rPr>
      <w:sz w:val="24"/>
      <w:szCs w:val="24"/>
      <w:lang w:val="zh-CN" w:eastAsia="zh-CN"/>
    </w:rPr>
  </w:style>
  <w:style w:type="character" w:customStyle="1" w:styleId="52">
    <w:name w:val="Corpo de texto 2 Char1"/>
    <w:qFormat/>
    <w:locked/>
    <w:uiPriority w:val="0"/>
    <w:rPr>
      <w:rFonts w:hint="default" w:ascii="Arial" w:hAnsi="Arial" w:eastAsia="Times New Roman" w:cs="Times New Roman"/>
      <w:i/>
      <w:sz w:val="20"/>
      <w:szCs w:val="20"/>
      <w:lang w:val="zh-CN" w:eastAsia="zh-CN"/>
    </w:rPr>
  </w:style>
  <w:style w:type="character" w:customStyle="1" w:styleId="53">
    <w:name w:val="Recuo de corpo de texto 3 Char1"/>
    <w:qFormat/>
    <w:locked/>
    <w:uiPriority w:val="0"/>
    <w:rPr>
      <w:rFonts w:hint="default" w:ascii="Arial" w:hAnsi="Arial" w:eastAsia="Times New Roman" w:cs="Times New Roman"/>
      <w:bCs/>
      <w:sz w:val="21"/>
      <w:szCs w:val="20"/>
      <w:lang w:val="zh-CN"/>
    </w:rPr>
  </w:style>
  <w:style w:type="paragraph" w:customStyle="1" w:styleId="54">
    <w:name w:val="msolistparagraph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5">
    <w:name w:val="msolistparagraphcxsplast"/>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6">
    <w:name w:val="western"/>
    <w:basedOn w:val="1"/>
    <w:qFormat/>
    <w:uiPriority w:val="0"/>
    <w:pPr>
      <w:spacing w:before="100" w:beforeAutospacing="1" w:after="0" w:line="240" w:lineRule="auto"/>
      <w:jc w:val="both"/>
    </w:pPr>
    <w:rPr>
      <w:rFonts w:eastAsia="Times New Roman"/>
      <w:sz w:val="24"/>
      <w:szCs w:val="24"/>
      <w:lang w:eastAsia="pt-BR"/>
    </w:rPr>
  </w:style>
  <w:style w:type="character" w:customStyle="1" w:styleId="57">
    <w:name w:val="Subtítulo Char"/>
    <w:basedOn w:val="11"/>
    <w:link w:val="25"/>
    <w:qFormat/>
    <w:uiPriority w:val="99"/>
    <w:rPr>
      <w:rFonts w:ascii="Times New Roman" w:hAnsi="Times New Roman" w:eastAsia="Times New Roman" w:cs="Times New Roman"/>
      <w:b/>
      <w:sz w:val="23"/>
      <w:szCs w:val="20"/>
      <w:lang w:val="zh-CN" w:eastAsia="zh-CN"/>
    </w:rPr>
  </w:style>
  <w:style w:type="table" w:customStyle="1" w:styleId="58">
    <w:name w:val="Tabela com grade1"/>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46</Pages>
  <Words>16958</Words>
  <Characters>91579</Characters>
  <Lines>763</Lines>
  <Paragraphs>216</Paragraphs>
  <TotalTime>1</TotalTime>
  <ScaleCrop>false</ScaleCrop>
  <LinksUpToDate>false</LinksUpToDate>
  <CharactersWithSpaces>108321</CharactersWithSpaces>
  <Application>WPS Office_11.2.0.10224_F1E327BC-269C-435d-A152-05C5408002CA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2021-06-08T18:34:00Z</dcterms:created>
  <dc:creator>JAQUELINE MARIA GARCIA MASCIOLLI</dc:creator>
  <cp:lastModifiedBy>Usuario</cp:lastModifiedBy>
  <cp:lastPrinted>2021-06-11T12:54:00Z</cp:lastPrinted>
  <dcterms:modified xsi:type="dcterms:W3CDTF">2021-07-27T14:20:44Z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1046-11.2.0.10224</vt:lpwstr>
  </property>
</Properties>
</file>