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110/2021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63/2021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 xml:space="preserve">torna público que a equipe de Pregoeiros instituída pelas Portarias nº. 110 de 19 de fevereiro de 2021 e 142 e 143 de 26 de fevereiro de 2021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16</w:t>
      </w:r>
      <w:r>
        <w:rPr>
          <w:rFonts w:hint="default" w:eastAsia="Times New Roman"/>
          <w:b/>
          <w:bCs/>
          <w:snapToGrid w:val="0"/>
          <w:sz w:val="24"/>
          <w:szCs w:val="24"/>
          <w:highlight w:val="none"/>
          <w:lang w:val="en-US" w:eastAsia="pt-BR"/>
        </w:rPr>
        <w:t xml:space="preserve"> de junho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val="0"/>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val="0"/>
          <w:sz w:val="24"/>
          <w:szCs w:val="24"/>
        </w:rPr>
        <w:t>REGISTRO DE PREÇOS OBJETIVANDO A AQUISIÇÃO FUTURA DE MATERIAL</w:t>
      </w:r>
      <w:r>
        <w:rPr>
          <w:rFonts w:hint="default" w:eastAsia="Times New Roman"/>
          <w:b/>
          <w:bCs w:val="0"/>
          <w:sz w:val="24"/>
          <w:szCs w:val="24"/>
          <w:lang w:val="pt-BR"/>
        </w:rPr>
        <w:t>/INSUMO</w:t>
      </w:r>
      <w:r>
        <w:rPr>
          <w:rFonts w:eastAsia="Times New Roman"/>
          <w:b/>
          <w:bCs w:val="0"/>
          <w:sz w:val="24"/>
          <w:szCs w:val="24"/>
        </w:rPr>
        <w:t xml:space="preserve"> CONFORME TERMO DE REFERÊNCIA, PARA </w:t>
      </w:r>
      <w:r>
        <w:rPr>
          <w:rFonts w:hint="default" w:eastAsia="Times New Roman"/>
          <w:b/>
          <w:bCs w:val="0"/>
          <w:sz w:val="24"/>
          <w:szCs w:val="24"/>
          <w:lang w:val="pt-BR"/>
        </w:rPr>
        <w:t xml:space="preserve">MANUTENÇÃO E CONSERVAÇÃO </w:t>
      </w:r>
      <w:r>
        <w:rPr>
          <w:rFonts w:eastAsia="Times New Roman"/>
          <w:b/>
          <w:bCs w:val="0"/>
          <w:sz w:val="24"/>
          <w:szCs w:val="24"/>
        </w:rPr>
        <w:t>DE RUAS E AVENIDAS PAVIMENTADAS DO MUNICÍPIO DE NAVIRAÍ/MS, PARA ATENDER AS GERÊNCIAS DE OBRAS E SERVIÇOS PÚBLICOS. PEDIDO DE COMPRA Nº 05/2021 E 141/2021.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16/06/2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63/2021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16/06/2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63/2021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16/06/2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Pr>
          <w:rFonts w:eastAsia="Times New Roman"/>
          <w:b/>
          <w:bCs/>
          <w:sz w:val="24"/>
          <w:szCs w:val="24"/>
          <w:lang w:eastAsia="pt-BR"/>
        </w:rPr>
        <w:t xml:space="preserve">07h: 00min às 13h: 00min </w:t>
      </w:r>
      <w:r>
        <w:rPr>
          <w:rFonts w:eastAsia="Times New Roman"/>
          <w:sz w:val="24"/>
          <w:szCs w:val="24"/>
          <w:lang w:eastAsia="pt-BR"/>
        </w:rPr>
        <w:t>(horário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w:t>
      </w:r>
      <w:r>
        <w:rPr>
          <w:rFonts w:hint="default" w:eastAsia="Times New Roman"/>
          <w:b/>
          <w:bCs/>
          <w:sz w:val="24"/>
          <w:szCs w:val="24"/>
          <w:lang w:val="pt-BR"/>
        </w:rPr>
        <w:t>1</w:t>
      </w:r>
      <w:r>
        <w:rPr>
          <w:rFonts w:eastAsia="Times New Roman"/>
          <w:b/>
          <w:bCs/>
          <w:sz w:val="24"/>
          <w:szCs w:val="24"/>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w:t>
      </w:r>
      <w:r>
        <w:rPr>
          <w:rFonts w:hint="default" w:eastAsia="Times New Roman"/>
          <w:b/>
          <w:iCs/>
          <w:sz w:val="24"/>
          <w:szCs w:val="24"/>
          <w:lang w:val="pt-BR"/>
        </w:rPr>
        <w:t>1</w:t>
      </w:r>
      <w:r>
        <w:rPr>
          <w:rFonts w:eastAsia="Times New Roman"/>
          <w:b/>
          <w:iCs/>
          <w:sz w:val="24"/>
          <w:szCs w:val="24"/>
        </w:rPr>
        <w:t>.1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R$ 5.885.610,0</w:t>
      </w:r>
      <w:r>
        <w:rPr>
          <w:rFonts w:hint="default" w:eastAsia="Times New Roman"/>
          <w:b/>
          <w:bCs/>
          <w:iCs/>
          <w:sz w:val="24"/>
          <w:szCs w:val="24"/>
          <w:lang w:val="pt-BR"/>
        </w:rPr>
        <w:t>0</w:t>
      </w:r>
      <w:r>
        <w:rPr>
          <w:rFonts w:eastAsia="Times New Roman"/>
          <w:b/>
          <w:bCs/>
          <w:iCs/>
          <w:sz w:val="24"/>
          <w:szCs w:val="24"/>
        </w:rPr>
        <w:t xml:space="preserve"> (cinco milhões, oitocentos e oitenta e cinco mil seiscentos e dez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7.1</w:t>
      </w:r>
      <w:r>
        <w:rPr>
          <w:rFonts w:hint="default" w:eastAsia="Times New Roman"/>
          <w:iCs/>
          <w:sz w:val="24"/>
          <w:szCs w:val="24"/>
          <w:lang w:val="en-US" w:eastAsia="pt-BR"/>
        </w:rPr>
        <w:t>1</w:t>
      </w:r>
      <w:r>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7.1</w:t>
      </w:r>
      <w:r>
        <w:rPr>
          <w:rFonts w:hint="default" w:eastAsia="Times New Roman"/>
          <w:sz w:val="24"/>
          <w:szCs w:val="24"/>
          <w:lang w:val="en-US" w:eastAsia="pt-BR"/>
        </w:rPr>
        <w:t>1</w:t>
      </w:r>
      <w:r>
        <w:rPr>
          <w:rFonts w:eastAsia="Times New Roman"/>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8.2.7</w:t>
      </w:r>
      <w:r>
        <w:rPr>
          <w:rFonts w:eastAsia="Times New Roman"/>
          <w:sz w:val="24"/>
          <w:szCs w:val="24"/>
        </w:rPr>
        <w:t xml:space="preserve"> </w:t>
      </w:r>
      <w:r>
        <w:rPr>
          <w:rFonts w:eastAsia="Times New Roman"/>
          <w:b/>
          <w:sz w:val="24"/>
          <w:szCs w:val="24"/>
          <w:u w:val="single"/>
        </w:rPr>
        <w:t>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8</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2"/>
          <w:u w:val="single"/>
        </w:rPr>
        <w:t>exceto</w:t>
      </w:r>
      <w:r>
        <w:rPr>
          <w:b/>
          <w:iCs/>
          <w:sz w:val="22"/>
        </w:rPr>
        <w:t xml:space="preserve"> </w:t>
      </w:r>
      <w:r>
        <w:rPr>
          <w:iCs/>
          <w:sz w:val="22"/>
        </w:rPr>
        <w:t xml:space="preserve">se por algum motivo devidamente justificado, os </w:t>
      </w:r>
      <w:r>
        <w:rPr>
          <w:b/>
          <w:iCs/>
          <w:sz w:val="22"/>
        </w:rPr>
        <w:t>itens</w:t>
      </w:r>
      <w:r>
        <w:rPr>
          <w:iCs/>
          <w:sz w:val="22"/>
        </w:rPr>
        <w:t xml:space="preserve"> sofrerem alterações por fatos supervenientes alheio a vontade do contratado, </w:t>
      </w:r>
      <w:r>
        <w:rPr>
          <w:b/>
          <w:iCs/>
          <w:sz w:val="22"/>
        </w:rPr>
        <w:t xml:space="preserve">poderá </w:t>
      </w:r>
      <w:r>
        <w:rPr>
          <w:iCs/>
          <w:sz w:val="22"/>
        </w:rPr>
        <w:t xml:space="preserve">ser reajustada/reequilibrado de acordo com o artigo 40, inciso XI,  </w:t>
      </w:r>
      <w:r>
        <w:rPr>
          <w:bCs/>
          <w:sz w:val="22"/>
        </w:rPr>
        <w:t xml:space="preserve"> art. 55, inc. III, bem como o art. 65 </w:t>
      </w:r>
      <w:r>
        <w:rPr>
          <w:iCs/>
          <w:sz w:val="22"/>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w:t>
      </w:r>
      <w:r>
        <w:rPr>
          <w:rFonts w:hint="default" w:eastAsia="Times New Roman"/>
          <w:sz w:val="24"/>
          <w:szCs w:val="24"/>
          <w:lang w:val="pt-BR"/>
        </w:rPr>
        <w:t xml:space="preserve">em </w:t>
      </w:r>
      <w:r>
        <w:rPr>
          <w:rFonts w:eastAsia="Times New Roman"/>
          <w:sz w:val="24"/>
          <w:szCs w:val="24"/>
          <w:highlight w:val="yellow"/>
        </w:rPr>
        <w:t>Local indicado na Ordem de compr</w:t>
      </w:r>
      <w:r>
        <w:rPr>
          <w:rFonts w:hint="default" w:eastAsia="Times New Roman"/>
          <w:sz w:val="24"/>
          <w:szCs w:val="24"/>
          <w:highlight w:val="yellow"/>
          <w:lang w:val="pt-BR"/>
        </w:rPr>
        <w:t>a</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hint="default" w:ascii="Palatino" w:hAnsi="Palatino"/>
          <w:i w:val="0"/>
          <w:iCs w:val="0"/>
          <w:sz w:val="22"/>
          <w:szCs w:val="22"/>
          <w:lang w:val="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hint="default" w:eastAsia="Times New Roman"/>
          <w:iCs/>
          <w:sz w:val="24"/>
          <w:szCs w:val="24"/>
          <w:lang w:val="en-US" w:eastAsia="pt-BR"/>
        </w:rPr>
        <w:t xml:space="preserve">IPCA </w:t>
      </w:r>
      <w:r>
        <w:rPr>
          <w:rFonts w:ascii="Palatino" w:hAnsi="Palatino"/>
          <w:i w:val="0"/>
          <w:iCs w:val="0"/>
          <w:sz w:val="22"/>
          <w:szCs w:val="22"/>
        </w:rPr>
        <w:t>(Índice acumulado nos últimos doze meses)</w:t>
      </w:r>
      <w:r>
        <w:rPr>
          <w:rFonts w:hint="default" w:ascii="Palatino" w:hAnsi="Palatino"/>
          <w:i w:val="0"/>
          <w:iCs w:val="0"/>
          <w:sz w:val="22"/>
          <w:szCs w:val="22"/>
          <w:lang w:val="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4"/>
          <w:szCs w:val="24"/>
        </w:rPr>
        <w:t>não serão recebidas solicitações via e-mail ou fax símile</w:t>
      </w:r>
      <w:r>
        <w:rPr>
          <w:rFonts w:eastAsia="Times New Roman"/>
          <w:sz w:val="24"/>
          <w:szCs w:val="24"/>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hint="default" w:eastAsia="Times New Roman"/>
          <w:b/>
          <w:sz w:val="24"/>
          <w:szCs w:val="24"/>
          <w:lang w:val="pt-BR"/>
        </w:rPr>
        <w:t>28 de maio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MATERIAL</w:t>
      </w:r>
      <w:r>
        <w:rPr>
          <w:rFonts w:hint="default" w:eastAsia="Times New Roman"/>
          <w:b/>
          <w:bCs/>
          <w:sz w:val="24"/>
          <w:szCs w:val="24"/>
          <w:lang w:val="pt-BR"/>
        </w:rPr>
        <w:t>/INSUMO</w:t>
      </w:r>
      <w:r>
        <w:rPr>
          <w:rFonts w:eastAsia="Times New Roman"/>
          <w:b/>
          <w:bCs/>
          <w:sz w:val="24"/>
          <w:szCs w:val="24"/>
        </w:rPr>
        <w:t xml:space="preserve"> CONFORME TERMO DE REFERÊNCIA, PARA </w:t>
      </w:r>
      <w:r>
        <w:rPr>
          <w:rFonts w:hint="default" w:eastAsia="Times New Roman"/>
          <w:b/>
          <w:bCs/>
          <w:sz w:val="24"/>
          <w:szCs w:val="24"/>
          <w:lang w:val="pt-BR"/>
        </w:rPr>
        <w:t xml:space="preserve">MANUTENÇÃO E CONSERVAÇÃO </w:t>
      </w:r>
      <w:r>
        <w:rPr>
          <w:rFonts w:eastAsia="Times New Roman"/>
          <w:b/>
          <w:bCs/>
          <w:sz w:val="24"/>
          <w:szCs w:val="24"/>
        </w:rPr>
        <w:t>DE RUAS E AVENIDAS PAVIMENTADAS DO MUNICÍPIO DE NAVIRAÍ/MS, PARA ATENDER AS GERÊNCIAS DE OBRAS E SERVIÇOS PÚBLICOS. PEDIDO DE COMPRA Nº 05/2021 E 141/2021.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EMULSÃO ASFALTICA RL - 1C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PÓ DE PEDRA BRITA - A RETIRAR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PEDRISCO LIMPO - A RETIRAR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CBUQ - CONCRETO BETUMINOSO USINADO A QUENTE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BICA CORRIDA. A retirar.</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2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3 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4 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5 LOCAL DE ENTREGA: </w:t>
      </w:r>
      <w:r>
        <w:rPr>
          <w:rFonts w:eastAsia="Times New Roman"/>
          <w:bCs/>
          <w:sz w:val="24"/>
          <w:szCs w:val="24"/>
        </w:rPr>
        <w:t>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 QUANTIDADE M</w:t>
      </w:r>
      <w:r>
        <w:rPr>
          <w:rFonts w:hint="default" w:eastAsia="Times New Roman"/>
          <w:b/>
          <w:bCs/>
          <w:sz w:val="24"/>
          <w:szCs w:val="24"/>
          <w:lang w:val="pt-BR"/>
        </w:rPr>
        <w:t>Í</w:t>
      </w:r>
      <w:r>
        <w:rPr>
          <w:rFonts w:eastAsia="Times New Roman"/>
          <w:b/>
          <w:bCs/>
          <w:sz w:val="24"/>
          <w:szCs w:val="24"/>
        </w:rPr>
        <w:t xml:space="preserve">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2"/>
          <w:highlight w:val="yellow"/>
        </w:rPr>
        <w:t>Obs.:</w:t>
      </w:r>
      <w:r>
        <w:rPr>
          <w:rFonts w:eastAsia="Times New Roman"/>
          <w:bCs/>
          <w:sz w:val="24"/>
          <w:szCs w:val="24"/>
        </w:rPr>
        <w:t xml:space="preserve"> A emulsão asfáltica adquirida deverá ser entregue em quantidades de 15 TONELADAS por vez, considerando a capacidade do tanque de acondicionamento do município.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sz w:val="24"/>
          <w:szCs w:val="24"/>
          <w:lang w:eastAsia="pt-BR"/>
        </w:rPr>
      </w:pPr>
      <w:r>
        <w:drawing>
          <wp:inline distT="0" distB="0" distL="114300" distR="114300">
            <wp:extent cx="4909185" cy="2600960"/>
            <wp:effectExtent l="0" t="0" r="5715" b="889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4909185" cy="2600960"/>
                    </a:xfrm>
                    <a:prstGeom prst="rect">
                      <a:avLst/>
                    </a:prstGeom>
                    <a:noFill/>
                    <a:ln>
                      <a:noFill/>
                    </a:ln>
                  </pic:spPr>
                </pic:pic>
              </a:graphicData>
            </a:graphic>
          </wp:inline>
        </w:drawing>
      </w:r>
      <w:r>
        <w:drawing>
          <wp:inline distT="0" distB="0" distL="114300" distR="114300">
            <wp:extent cx="3369945" cy="1491615"/>
            <wp:effectExtent l="0" t="0" r="1905" b="1333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3369945" cy="149161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drawing>
          <wp:inline distT="0" distB="0" distL="114300" distR="114300">
            <wp:extent cx="5021580" cy="2571750"/>
            <wp:effectExtent l="0" t="0" r="762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021580" cy="257175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sz w:val="24"/>
          <w:szCs w:val="24"/>
          <w:lang w:eastAsia="pt-BR"/>
        </w:rPr>
      </w:pPr>
      <w:r>
        <w:drawing>
          <wp:inline distT="0" distB="0" distL="114300" distR="114300">
            <wp:extent cx="2025650" cy="1137920"/>
            <wp:effectExtent l="0" t="0" r="12700" b="508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2025650" cy="113792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10" w:bottom="709" w:left="1797" w:header="284" w:footer="459" w:gutter="0"/>
          <w:cols w:space="720" w:num="1"/>
          <w:docGrid w:linePitch="272" w:charSpace="0"/>
        </w:sect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63/2021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974"/>
        <w:gridCol w:w="705"/>
        <w:gridCol w:w="7552"/>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97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70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52"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97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70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755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EMULSÃO ASFALTICA RL - 1C</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97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11.500,0</w:t>
            </w:r>
          </w:p>
        </w:tc>
        <w:tc>
          <w:tcPr>
            <w:tcW w:w="70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755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PÓ DE PEDRA BRITA - A RETIRAR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97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70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755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PEDRISCO LIMPO - A RETIRAR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97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70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755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CBUQ - CONCRETO BETUMINOSO USINADO A QUENTE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97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w:t>
            </w:r>
          </w:p>
        </w:tc>
        <w:tc>
          <w:tcPr>
            <w:tcW w:w="70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TON</w:t>
            </w:r>
          </w:p>
        </w:tc>
        <w:tc>
          <w:tcPr>
            <w:tcW w:w="755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BICA CORRIDA. A retirar.</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63/2021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sectPr>
          <w:pgSz w:w="16840" w:h="11907" w:orient="landscape"/>
          <w:pgMar w:top="1797" w:right="1536" w:bottom="913" w:left="709" w:header="284" w:footer="459" w:gutter="0"/>
          <w:cols w:space="0" w:num="1"/>
          <w:rtlGutter w:val="0"/>
          <w:docGrid w:linePitch="272" w:charSpace="0"/>
        </w:sect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110/2021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63/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iCs/>
          <w:sz w:val="24"/>
          <w:szCs w:val="24"/>
        </w:rPr>
        <w:t xml:space="preserve"> </w:t>
      </w:r>
      <w:r>
        <w:rPr>
          <w:rFonts w:eastAsia="Times New Roman"/>
          <w:b/>
          <w:sz w:val="24"/>
          <w:szCs w:val="24"/>
          <w:u w:val="single"/>
        </w:rPr>
        <w:t>Jorge Luis de Lúcia</w:t>
      </w:r>
      <w:r>
        <w:rPr>
          <w:rFonts w:eastAsia="Times New Roman"/>
          <w:iCs/>
          <w:sz w:val="24"/>
          <w:szCs w:val="24"/>
        </w:rPr>
        <w:t>, Gerente de Obras e Ordenador de Despesas conforme Decreto nº. 011/2021</w:t>
      </w:r>
      <w:r>
        <w:rPr>
          <w:rFonts w:hint="default" w:eastAsia="Times New Roman"/>
          <w:iCs/>
          <w:sz w:val="24"/>
          <w:szCs w:val="24"/>
          <w:lang w:val="pt-BR"/>
        </w:rPr>
        <w:t xml:space="preserve"> e Gerente de Serviços Públicos e Ordenador de Despesas conforme Decreto nº 077/2021</w:t>
      </w:r>
      <w:r>
        <w:rPr>
          <w:rFonts w:eastAsia="Times New Roman"/>
          <w:iCs/>
          <w:sz w:val="24"/>
          <w:szCs w:val="24"/>
        </w:rPr>
        <w:t>, brasileiro, portador do CPF/MF nº. 079.589.258-67 e Cédula de Identidade RG nº. 9.057.438 SSP/SP, residente nesta cidade, à Avenida Amélia Fukuda,  nº 1216 – Jardim Oasis</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63/2021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hint="default" w:eastAsia="Times New Roman"/>
          <w:b/>
          <w:bCs/>
          <w:sz w:val="24"/>
          <w:szCs w:val="24"/>
          <w:lang w:eastAsia="pt-BR"/>
        </w:rPr>
        <w:t>REGISTRO DE PREÇOS OBJETIVANDO A AQUISIÇÃO FUTURA DE MATERIAL/INSUMO CONFORME TERMO DE REFERÊNCIA, PARA MANUTENÇÃO E CONSERVAÇÃO DE RUAS E AVENIDAS PAVIMENTADAS DO MUNICÍPIO DE NAVIRAÍ/MS, PARA ATENDER AS GERÊNCIAS DE OBRAS E SERVIÇOS PÚBLICOS. PEDIDO DE COMPRA Nº 05/2021 E 141/2021.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63/2021</w:t>
      </w:r>
      <w:r>
        <w:rPr>
          <w:rFonts w:eastAsia="Times New Roman"/>
          <w:sz w:val="24"/>
          <w:szCs w:val="24"/>
          <w:lang w:eastAsia="pt-BR"/>
        </w:rPr>
        <w:t xml:space="preserve">, Processo n° </w:t>
      </w:r>
      <w:r>
        <w:rPr>
          <w:rFonts w:eastAsia="Times New Roman"/>
          <w:b/>
          <w:sz w:val="24"/>
          <w:szCs w:val="24"/>
          <w:lang w:eastAsia="pt-BR"/>
        </w:rPr>
        <w:t>110/2021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hint="default" w:eastAsia="Times New Roman"/>
          <w:sz w:val="24"/>
          <w:szCs w:val="24"/>
          <w:lang w:val="pt-BR"/>
        </w:rPr>
        <w:t xml:space="preserve">em </w:t>
      </w:r>
      <w:r>
        <w:rPr>
          <w:rFonts w:eastAsia="Times New Roman"/>
          <w:sz w:val="24"/>
          <w:szCs w:val="24"/>
          <w:highlight w:val="none"/>
        </w:rPr>
        <w:t>Local indicado na Ordem de Fornecimento</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I</w:t>
      </w:r>
      <w:r>
        <w:rPr>
          <w:rFonts w:hint="default" w:eastAsia="Times New Roman"/>
          <w:iCs/>
          <w:sz w:val="24"/>
          <w:szCs w:val="24"/>
          <w:lang w:val="pt-BR"/>
        </w:rPr>
        <w:t>PCA (Índice acumulado dos últimos doze meses),</w:t>
      </w:r>
      <w:r>
        <w:rPr>
          <w:rFonts w:eastAsia="Times New Roman"/>
          <w:sz w:val="24"/>
          <w:szCs w:val="24"/>
          <w:lang w:eastAsia="pt-BR"/>
        </w:rPr>
        <w:t xml:space="preserve">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lang w:val="pt-BR"/>
              </w:rPr>
            </w:pPr>
            <w:r>
              <w:rPr>
                <w:rFonts w:eastAsia="MS Mincho"/>
                <w:b/>
                <w:iCs/>
                <w:sz w:val="22"/>
              </w:rPr>
              <w:t>Conforme Decreto nº 011/2021</w:t>
            </w:r>
            <w:r>
              <w:rPr>
                <w:rFonts w:hint="default" w:eastAsia="MS Mincho"/>
                <w:b/>
                <w:iCs/>
                <w:sz w:val="22"/>
                <w:lang w:val="pt-BR"/>
              </w:rPr>
              <w:t xml:space="preserve"> e</w:t>
            </w:r>
          </w:p>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lang w:val="pt-BR"/>
              </w:rPr>
            </w:pPr>
            <w:r>
              <w:rPr>
                <w:rFonts w:hint="default" w:eastAsia="MS Mincho"/>
                <w:b/>
                <w:iCs/>
                <w:sz w:val="22"/>
                <w:lang w:val="pt-BR"/>
              </w:rPr>
              <w:t>Ger.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lang w:val="pt-BR"/>
              </w:rPr>
            </w:pPr>
            <w:r>
              <w:rPr>
                <w:rFonts w:hint="default" w:eastAsia="MS Mincho"/>
                <w:b/>
                <w:iCs/>
                <w:sz w:val="22"/>
                <w:lang w:val="pt-BR"/>
              </w:rPr>
              <w:t>Conforme Decreto nº 077/2021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63/2021</w:t>
      </w:r>
      <w:r>
        <w:rPr>
          <w:rFonts w:eastAsia="Times New Roman"/>
          <w:sz w:val="24"/>
          <w:szCs w:val="24"/>
          <w:lang w:eastAsia="pt-BR"/>
        </w:rPr>
        <w:t xml:space="preserve"> – Processo nº. </w:t>
      </w:r>
      <w:r>
        <w:rPr>
          <w:rFonts w:eastAsia="Times New Roman"/>
          <w:b/>
          <w:sz w:val="24"/>
          <w:szCs w:val="24"/>
          <w:lang w:eastAsia="pt-BR"/>
        </w:rPr>
        <w:t>110/2021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lang w:val="pt-BR"/>
              </w:rPr>
            </w:pPr>
            <w:r>
              <w:rPr>
                <w:rFonts w:eastAsia="MS Mincho"/>
                <w:b/>
                <w:iCs/>
                <w:sz w:val="22"/>
              </w:rPr>
              <w:t>Conforme Decreto nº 011/2021</w:t>
            </w:r>
            <w:r>
              <w:rPr>
                <w:rFonts w:hint="default" w:eastAsia="MS Mincho"/>
                <w:b/>
                <w:iCs/>
                <w:sz w:val="22"/>
                <w:lang w:val="pt-BR"/>
              </w:rPr>
              <w:t xml:space="preserve"> e</w:t>
            </w:r>
          </w:p>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lang w:val="pt-BR"/>
              </w:rPr>
            </w:pPr>
            <w:r>
              <w:rPr>
                <w:rFonts w:hint="default" w:eastAsia="MS Mincho"/>
                <w:b/>
                <w:iCs/>
                <w:sz w:val="22"/>
                <w:lang w:val="pt-BR"/>
              </w:rPr>
              <w:t>Ger.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hint="default" w:eastAsia="MS Mincho"/>
                <w:b/>
                <w:iCs/>
                <w:sz w:val="22"/>
                <w:lang w:val="pt-BR"/>
              </w:rPr>
              <w:t>Conforme Decreto nº 077/2021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w:t>
      </w:r>
      <w:r>
        <w:rPr>
          <w:rFonts w:hint="default" w:eastAsia="Times New Roman"/>
          <w:b/>
          <w:bCs/>
          <w:sz w:val="24"/>
          <w:szCs w:val="24"/>
          <w:lang w:val="pt-BR"/>
        </w:rPr>
        <w:t>0</w:t>
      </w:r>
      <w:r>
        <w:rPr>
          <w:rFonts w:eastAsia="Times New Roman"/>
          <w:b/>
          <w:bCs/>
          <w:sz w:val="24"/>
          <w:szCs w:val="24"/>
        </w:rPr>
        <w:t xml:space="preserve">63/2021 </w:t>
      </w:r>
    </w:p>
    <w:p>
      <w:pPr>
        <w:keepNext/>
        <w:spacing w:after="0" w:line="240" w:lineRule="auto"/>
        <w:ind w:right="-568"/>
        <w:jc w:val="center"/>
        <w:outlineLvl w:val="5"/>
        <w:rPr>
          <w:rFonts w:eastAsia="Times New Roman"/>
          <w:sz w:val="24"/>
          <w:szCs w:val="24"/>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Jorge Luis de Lúcia</w:t>
      </w:r>
      <w:r>
        <w:rPr>
          <w:rFonts w:eastAsia="Times New Roman"/>
          <w:iCs/>
          <w:sz w:val="24"/>
          <w:szCs w:val="24"/>
        </w:rPr>
        <w:t>, Gerente de Obras e Ordenador de Despesas conforme Decreto nº. 011/2021</w:t>
      </w:r>
      <w:r>
        <w:rPr>
          <w:rFonts w:hint="default" w:eastAsia="Times New Roman"/>
          <w:iCs/>
          <w:sz w:val="24"/>
          <w:szCs w:val="24"/>
          <w:lang w:val="pt-BR"/>
        </w:rPr>
        <w:t xml:space="preserve"> e Gerente de Serviços Públicos e Ordenador de Despesas conforme Decreto nº 077/2021</w:t>
      </w:r>
      <w:r>
        <w:rPr>
          <w:rFonts w:eastAsia="Times New Roman"/>
          <w:iCs/>
          <w:sz w:val="24"/>
          <w:szCs w:val="24"/>
        </w:rPr>
        <w:t>, brasileiro, portador do CPF/MF nº. 079.589.258-67 e Cédula de Identidade RG nº. 9.057.438 SSP/SP, residente nesta cidade, à Avenida Amélia Fukuda,  nº 1216 – Jardim Oasis,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110/2021</w:t>
      </w:r>
      <w:r>
        <w:rPr>
          <w:rFonts w:eastAsia="Times New Roman"/>
          <w:iCs/>
          <w:sz w:val="24"/>
          <w:szCs w:val="24"/>
          <w:lang w:eastAsia="pt-BR"/>
        </w:rPr>
        <w:t xml:space="preserve">, gerado pelo </w:t>
      </w:r>
      <w:r>
        <w:rPr>
          <w:rFonts w:eastAsia="Times New Roman"/>
          <w:b/>
          <w:iCs/>
          <w:sz w:val="24"/>
          <w:szCs w:val="24"/>
          <w:lang w:eastAsia="pt-BR"/>
        </w:rPr>
        <w:t>Pregão Presencial nº. 63/2021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Gerencia.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bCs/>
          <w:iCs/>
          <w:sz w:val="24"/>
          <w:szCs w:val="24"/>
        </w:rPr>
      </w:pPr>
      <w:r>
        <w:rPr>
          <w:rFonts w:eastAsia="Times New Roman"/>
          <w:iCs/>
          <w:sz w:val="24"/>
          <w:szCs w:val="24"/>
        </w:rPr>
        <w:t xml:space="preserve">Constitui objeto deste Contrato a </w:t>
      </w:r>
      <w:r>
        <w:rPr>
          <w:rFonts w:eastAsia="Times New Roman"/>
          <w:b/>
          <w:bCs/>
          <w:iCs/>
          <w:sz w:val="24"/>
          <w:szCs w:val="24"/>
        </w:rPr>
        <w:t>AQUISIÇÃO DE MATERIAL</w:t>
      </w:r>
      <w:r>
        <w:rPr>
          <w:rFonts w:hint="default" w:eastAsia="Times New Roman"/>
          <w:b/>
          <w:bCs/>
          <w:iCs/>
          <w:sz w:val="24"/>
          <w:szCs w:val="24"/>
          <w:lang w:val="pt-BR"/>
        </w:rPr>
        <w:t>/INSUMO</w:t>
      </w:r>
      <w:r>
        <w:rPr>
          <w:rFonts w:eastAsia="Times New Roman"/>
          <w:b/>
          <w:bCs/>
          <w:iCs/>
          <w:sz w:val="24"/>
          <w:szCs w:val="24"/>
        </w:rPr>
        <w:t xml:space="preserve"> CONFORME TERMO DE REFERÊNCIA, PARA </w:t>
      </w:r>
      <w:r>
        <w:rPr>
          <w:rFonts w:hint="default" w:eastAsia="Times New Roman"/>
          <w:b/>
          <w:bCs/>
          <w:iCs/>
          <w:sz w:val="24"/>
          <w:szCs w:val="24"/>
          <w:lang w:val="pt-BR"/>
        </w:rPr>
        <w:t xml:space="preserve">MANUTENÇÃO E CONSERVAÇÃO </w:t>
      </w:r>
      <w:r>
        <w:rPr>
          <w:rFonts w:eastAsia="Times New Roman"/>
          <w:b/>
          <w:bCs/>
          <w:iCs/>
          <w:sz w:val="24"/>
          <w:szCs w:val="24"/>
        </w:rPr>
        <w:t>DE RUAS E AVENIDAS PAVIMENTADAS DO MUNICÍPIO DE NAVIRAÍ/MS, PARA ATENDER AS GERÊNCIAS DE OBRAS E SERVIÇOS PÚBLICOS. PEDIDO DE COMPRA Nº 05/2021 E 141/2021.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w:t>
      </w:r>
      <w:r>
        <w:rPr>
          <w:rFonts w:hint="default" w:eastAsia="Times New Roman"/>
          <w:sz w:val="24"/>
          <w:szCs w:val="24"/>
          <w:lang w:val="pt-BR"/>
        </w:rPr>
        <w:t>Local Indicado na Ordem de Fornecimento</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618"/>
        <w:jc w:val="both"/>
        <w:textAlignment w:val="baseline"/>
        <w:rPr>
          <w:rFonts w:hint="default" w:eastAsia="Times New Roman"/>
          <w:b/>
          <w:bCs/>
          <w:iCs/>
          <w:sz w:val="24"/>
          <w:szCs w:val="24"/>
          <w:lang w:val="pt-BR"/>
        </w:rPr>
      </w:pPr>
      <w:r>
        <w:rPr>
          <w:rFonts w:hint="default" w:eastAsia="Times New Roman"/>
          <w:b/>
          <w:bCs/>
          <w:iCs/>
          <w:sz w:val="24"/>
          <w:szCs w:val="24"/>
          <w:lang w:val="pt-BR"/>
        </w:rPr>
        <w:t>3.5 - TERMO DE REFERÊNCIA</w:t>
      </w:r>
    </w:p>
    <w:p>
      <w:pPr>
        <w:overflowPunct w:val="0"/>
        <w:autoSpaceDE w:val="0"/>
        <w:autoSpaceDN w:val="0"/>
        <w:adjustRightInd w:val="0"/>
        <w:spacing w:after="0" w:line="240" w:lineRule="auto"/>
        <w:ind w:right="-618"/>
        <w:jc w:val="both"/>
        <w:textAlignment w:val="baseline"/>
        <w:rPr>
          <w:rFonts w:hint="default" w:eastAsia="Times New Roman"/>
          <w:b/>
          <w:bCs/>
          <w:iCs/>
          <w:sz w:val="24"/>
          <w:szCs w:val="24"/>
          <w:lang w:val="pt-BR"/>
        </w:rPr>
      </w:pPr>
      <w:r>
        <w:drawing>
          <wp:inline distT="0" distB="0" distL="114300" distR="114300">
            <wp:extent cx="5330190" cy="1648460"/>
            <wp:effectExtent l="0" t="0" r="3810" b="889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330190" cy="1648460"/>
                    </a:xfrm>
                    <a:prstGeom prst="rect">
                      <a:avLst/>
                    </a:prstGeom>
                    <a:noFill/>
                    <a:ln>
                      <a:noFill/>
                    </a:ln>
                  </pic:spPr>
                </pic:pic>
              </a:graphicData>
            </a:graphic>
          </wp:inline>
        </w:drawing>
      </w: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Times New Roman"/>
          <w:b/>
          <w:iCs/>
          <w:sz w:val="24"/>
          <w:szCs w:val="24"/>
          <w:lang w:eastAsia="pt-BR"/>
        </w:rPr>
      </w:pPr>
      <w:r>
        <w:drawing>
          <wp:inline distT="0" distB="0" distL="114300" distR="114300">
            <wp:extent cx="5827395" cy="1102995"/>
            <wp:effectExtent l="0" t="0" r="1905" b="190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4"/>
                    <a:stretch>
                      <a:fillRect/>
                    </a:stretch>
                  </pic:blipFill>
                  <pic:spPr>
                    <a:xfrm>
                      <a:off x="0" y="0"/>
                      <a:ext cx="5827395" cy="1102995"/>
                    </a:xfrm>
                    <a:prstGeom prst="rect">
                      <a:avLst/>
                    </a:prstGeom>
                    <a:noFill/>
                    <a:ln>
                      <a:noFill/>
                    </a:ln>
                  </pic:spPr>
                </pic:pic>
              </a:graphicData>
            </a:graphic>
          </wp:inline>
        </w:drawing>
      </w:r>
    </w:p>
    <w:p>
      <w:pPr>
        <w:keepNext/>
        <w:spacing w:after="0" w:line="240" w:lineRule="auto"/>
        <w:ind w:right="-618"/>
        <w:jc w:val="both"/>
        <w:outlineLvl w:val="2"/>
        <w:rPr>
          <w:rFonts w:eastAsia="Times New Roman"/>
          <w:b/>
          <w:iCs/>
          <w:sz w:val="24"/>
          <w:szCs w:val="24"/>
          <w:lang w:eastAsia="pt-BR"/>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rFonts w:eastAsia="Times New Roman"/>
          <w:b/>
          <w:bCs/>
          <w:iCs/>
          <w:sz w:val="24"/>
          <w:szCs w:val="24"/>
          <w:u w:val="single"/>
        </w:rPr>
        <w:t>exceto</w:t>
      </w:r>
      <w:r>
        <w:rPr>
          <w:rFonts w:eastAsia="Times New Roman"/>
          <w:iCs/>
          <w:sz w:val="24"/>
          <w:szCs w:val="24"/>
        </w:rPr>
        <w:t xml:space="preserve"> se por algum motivo devidamente justificado, os produtos sofrerem alterações por fatos supervenientes alheio a vontade do contratado, poderá 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JORGE LUIS DE LUCIA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Obras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lang w:val="pt-BR"/>
              </w:rPr>
            </w:pPr>
            <w:r>
              <w:rPr>
                <w:rFonts w:eastAsia="MS Mincho"/>
                <w:b/>
                <w:iCs/>
                <w:sz w:val="22"/>
              </w:rPr>
              <w:t>Conforme Decreto nº 011/2021</w:t>
            </w:r>
            <w:r>
              <w:rPr>
                <w:rFonts w:hint="default" w:eastAsia="MS Mincho"/>
                <w:b/>
                <w:iCs/>
                <w:sz w:val="22"/>
                <w:lang w:val="pt-BR"/>
              </w:rPr>
              <w:t xml:space="preserve"> e</w:t>
            </w:r>
          </w:p>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lang w:val="pt-BR"/>
              </w:rPr>
            </w:pPr>
            <w:r>
              <w:rPr>
                <w:rFonts w:hint="default" w:eastAsia="MS Mincho"/>
                <w:b/>
                <w:iCs/>
                <w:sz w:val="22"/>
                <w:lang w:val="pt-BR"/>
              </w:rPr>
              <w:t>Ger.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hint="default" w:eastAsia="MS Mincho"/>
                <w:b/>
                <w:iCs/>
                <w:sz w:val="22"/>
                <w:lang w:val="pt-BR"/>
              </w:rPr>
              <w:t>Conforme Decreto nº 077/2021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63/2021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63/2021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063/2021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63/2021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063/2021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sectPr>
      <w:pgSz w:w="11907" w:h="16840"/>
      <w:pgMar w:top="1536" w:right="913"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21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A8F"/>
    <w:rsid w:val="00053A8F"/>
    <w:rsid w:val="005A691A"/>
    <w:rsid w:val="00684941"/>
    <w:rsid w:val="1C31279B"/>
    <w:rsid w:val="2510384A"/>
    <w:rsid w:val="300E3A9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uiPriority w:val="0"/>
    <w:rPr>
      <w:rFonts w:ascii="Arial" w:hAnsi="Arial" w:eastAsia="Times New Roman" w:cs="Times New Roman"/>
      <w:sz w:val="24"/>
      <w:szCs w:val="24"/>
      <w:lang w:eastAsia="pt-BR"/>
    </w:rPr>
  </w:style>
  <w:style w:type="character" w:customStyle="1" w:styleId="42">
    <w:name w:val="Recuo de corpo de texto 2 Char"/>
    <w:basedOn w:val="11"/>
    <w:link w:val="18"/>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uiPriority w:val="0"/>
    <w:pPr>
      <w:ind w:left="720"/>
      <w:contextualSpacing/>
    </w:pPr>
    <w:rPr>
      <w:rFonts w:eastAsia="Times New Roman"/>
      <w:szCs w:val="20"/>
    </w:rPr>
  </w:style>
  <w:style w:type="paragraph" w:customStyle="1" w:styleId="49">
    <w:name w:val="msonormalcxspmiddlecxspmiddle"/>
    <w:basedOn w:val="1"/>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16793</Words>
  <Characters>90684</Characters>
  <Lines>755</Lines>
  <Paragraphs>214</Paragraphs>
  <TotalTime>3</TotalTime>
  <ScaleCrop>false</ScaleCrop>
  <LinksUpToDate>false</LinksUpToDate>
  <CharactersWithSpaces>107263</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2021-05-28T16:27:00Z</dcterms:created>
  <dc:creator>JAQUELINE MARIA GARCIA MASCIOLLI</dc:creator>
  <cp:lastModifiedBy>Usuario</cp:lastModifiedBy>
  <cp:lastPrinted>2021-06-02T14:52:26Z</cp:lastPrinted>
  <dcterms:modified xsi:type="dcterms:W3CDTF">2021-06-02T14:53:07Z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