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bookmarkStart w:id="0" w:name="_GoBack"/>
      <w:bookmarkEnd w:id="0"/>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MINUTA DO 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121/2021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 xml:space="preserve">torna público que a equipe de Pregoeiros instituída pelas Portarias nº. </w:t>
      </w:r>
      <w:r>
        <w:rPr>
          <w:rFonts w:hint="default" w:eastAsia="Times New Roman"/>
          <w:sz w:val="24"/>
          <w:szCs w:val="24"/>
          <w:lang w:val="en-US" w:eastAsia="pt-BR"/>
        </w:rPr>
        <w:t xml:space="preserve">110 de 19 de fevereiro, 142 de 26 de fevereiro e 324 de 01 de junho de 2021, </w:t>
      </w:r>
      <w:r>
        <w:rPr>
          <w:rFonts w:eastAsia="Times New Roman"/>
          <w:sz w:val="24"/>
          <w:szCs w:val="24"/>
          <w:lang w:eastAsia="pt-BR"/>
        </w:rPr>
        <w:t xml:space="preserve">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hint="default" w:eastAsia="Times New Roman"/>
          <w:snapToGrid w:val="0"/>
          <w:sz w:val="24"/>
          <w:szCs w:val="24"/>
          <w:lang w:val="en-US"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eastAsia="Times New Roman"/>
          <w:b/>
          <w:bCs/>
          <w:snapToGrid w:val="0"/>
          <w:sz w:val="24"/>
          <w:szCs w:val="24"/>
          <w:highlight w:val="none"/>
          <w:lang w:eastAsia="pt-BR"/>
        </w:rPr>
        <w:t>10</w:t>
      </w:r>
      <w:r>
        <w:rPr>
          <w:rFonts w:hint="default" w:eastAsia="Times New Roman"/>
          <w:b/>
          <w:bCs/>
          <w:snapToGrid w:val="0"/>
          <w:sz w:val="24"/>
          <w:szCs w:val="24"/>
          <w:highlight w:val="none"/>
          <w:lang w:val="en-US" w:eastAsia="pt-BR"/>
        </w:rPr>
        <w:t>h</w:t>
      </w:r>
      <w:r>
        <w:rPr>
          <w:rFonts w:eastAsia="Times New Roman"/>
          <w:b/>
          <w:bCs/>
          <w:snapToGrid w:val="0"/>
          <w:sz w:val="24"/>
          <w:szCs w:val="24"/>
          <w:highlight w:val="none"/>
          <w:lang w:eastAsia="pt-BR"/>
        </w:rPr>
        <w:t>00</w:t>
      </w:r>
      <w:r>
        <w:rPr>
          <w:rFonts w:hint="default" w:eastAsia="Times New Roman"/>
          <w:b/>
          <w:bCs/>
          <w:snapToGrid w:val="0"/>
          <w:sz w:val="24"/>
          <w:szCs w:val="24"/>
          <w:highlight w:val="none"/>
          <w:lang w:val="en-US" w:eastAsia="pt-BR"/>
        </w:rPr>
        <w:t>min</w:t>
      </w:r>
      <w:r>
        <w:rPr>
          <w:rFonts w:eastAsia="Times New Roman"/>
          <w:b/>
          <w:bCs/>
          <w:snapToGrid w:val="0"/>
          <w:sz w:val="24"/>
          <w:szCs w:val="24"/>
          <w:highlight w:val="none"/>
          <w:lang w:eastAsia="pt-BR"/>
        </w:rPr>
        <w:t xml:space="preserve"> do dia 23</w:t>
      </w:r>
      <w:r>
        <w:rPr>
          <w:rFonts w:hint="default" w:eastAsia="Times New Roman"/>
          <w:b/>
          <w:bCs/>
          <w:snapToGrid w:val="0"/>
          <w:sz w:val="24"/>
          <w:szCs w:val="24"/>
          <w:highlight w:val="none"/>
          <w:lang w:val="en-US" w:eastAsia="pt-BR"/>
        </w:rPr>
        <w:t xml:space="preserve"> de junho de 2021.</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 CONTRATAÇÃO FUTURA DE EMPRESA ESPECIALIZADA EM REPARAÇÃO DE ARTIGOS MOBILIÁRIOS E REFORMA DE ESTOFADOS, CONFORME TERMO DE REFERÊNCIA PARA ATENDER A GERÊNCIA DE SAÚDE DO MUNICIPAL DE NAVIRAÍ/MS. PEDIDOS DE SERVIÇO Nº 178/2021, 179/2021, 180/2021, 181/2021.</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23/06/2</w:t>
      </w:r>
      <w:r>
        <w:rPr>
          <w:rFonts w:hint="default" w:eastAsia="Times New Roman"/>
          <w:b/>
          <w:sz w:val="24"/>
          <w:szCs w:val="24"/>
          <w:lang w:val="pt-BR"/>
        </w:rPr>
        <w:t>02</w:t>
      </w:r>
      <w:r>
        <w:rPr>
          <w:rFonts w:eastAsia="Times New Roman"/>
          <w:b/>
          <w:sz w:val="24"/>
          <w:szCs w:val="24"/>
        </w:rPr>
        <w:t>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eastAsia="Times New Roman"/>
          <w:b/>
          <w:sz w:val="24"/>
          <w:szCs w:val="24"/>
        </w:rPr>
        <w:t>10</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68/2021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23/06/2</w:t>
      </w:r>
      <w:r>
        <w:rPr>
          <w:rFonts w:hint="default" w:eastAsia="Times New Roman"/>
          <w:b/>
          <w:sz w:val="24"/>
          <w:szCs w:val="24"/>
          <w:u w:val="single"/>
          <w:lang w:val="pt-BR"/>
        </w:rPr>
        <w:t>02</w:t>
      </w:r>
      <w:r>
        <w:rPr>
          <w:rFonts w:eastAsia="Times New Roman"/>
          <w:b/>
          <w:sz w:val="24"/>
          <w:szCs w:val="24"/>
          <w:u w:val="single"/>
        </w:rPr>
        <w:t>1</w:t>
      </w:r>
      <w:r>
        <w:rPr>
          <w:rFonts w:eastAsia="Times New Roman"/>
          <w:b/>
          <w:sz w:val="24"/>
          <w:szCs w:val="24"/>
        </w:rPr>
        <w:t xml:space="preserve">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 10</w:t>
      </w:r>
      <w:r>
        <w:rPr>
          <w:rFonts w:hint="default" w:eastAsia="Times New Roman"/>
          <w:b/>
          <w:sz w:val="24"/>
          <w:szCs w:val="24"/>
          <w:lang w:val="en-US" w:eastAsia="pt-BR"/>
        </w:rPr>
        <w:t>h</w:t>
      </w:r>
      <w:r>
        <w:rPr>
          <w:rFonts w:eastAsia="Times New Roman"/>
          <w:b/>
          <w:sz w:val="24"/>
          <w:szCs w:val="24"/>
          <w:lang w:eastAsia="pt-BR"/>
        </w:rPr>
        <w:t>00</w:t>
      </w:r>
      <w:r>
        <w:rPr>
          <w:rFonts w:hint="default" w:eastAsia="Times New Roman"/>
          <w:b/>
          <w:sz w:val="24"/>
          <w:szCs w:val="24"/>
          <w:lang w:val="en-US" w:eastAsia="pt-BR"/>
        </w:rPr>
        <w:t>min</w:t>
      </w:r>
      <w:r>
        <w:rPr>
          <w:rFonts w:eastAsia="Times New Roman"/>
          <w:b/>
          <w:sz w:val="24"/>
          <w:szCs w:val="24"/>
          <w:lang w:eastAsia="pt-BR"/>
        </w:rPr>
        <w:t>.</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68/2021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23/06/2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HORÁRIO: 10</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w:t>
      </w:r>
      <w:r>
        <w:rPr>
          <w:rFonts w:eastAsia="Times New Roman"/>
          <w:b/>
          <w:bCs/>
          <w:sz w:val="24"/>
          <w:szCs w:val="24"/>
          <w:lang w:eastAsia="pt-BR"/>
        </w:rPr>
        <w:t xml:space="preserve">07h: 00min às 13h: 00min </w:t>
      </w:r>
      <w:r>
        <w:rPr>
          <w:rFonts w:eastAsia="Times New Roman"/>
          <w:sz w:val="24"/>
          <w:szCs w:val="24"/>
          <w:lang w:eastAsia="pt-BR"/>
        </w:rPr>
        <w:t>(horário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 xml:space="preserve">Não serão </w:t>
      </w:r>
      <w:r>
        <w:rPr>
          <w:rFonts w:eastAsia="Times New Roman"/>
          <w:sz w:val="24"/>
          <w:szCs w:val="24"/>
          <w:lang w:val="pt-BR"/>
        </w:rPr>
        <w:t>aceito</w:t>
      </w:r>
      <w:r>
        <w:rPr>
          <w:rFonts w:eastAsia="Times New Roman"/>
          <w:sz w:val="24"/>
          <w:szCs w:val="24"/>
        </w:rPr>
        <w:t xml:space="preserve">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w:t>
      </w:r>
      <w:r>
        <w:rPr>
          <w:rFonts w:hint="default" w:eastAsia="Times New Roman"/>
          <w:b/>
          <w:bCs/>
          <w:sz w:val="24"/>
          <w:szCs w:val="24"/>
          <w:lang w:val="pt-BR"/>
        </w:rPr>
        <w:t>1</w:t>
      </w:r>
      <w:r>
        <w:rPr>
          <w:rFonts w:eastAsia="Times New Roman"/>
          <w:b/>
          <w:bCs/>
          <w:sz w:val="24"/>
          <w:szCs w:val="24"/>
        </w:rPr>
        <w:t xml:space="preserve">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w:t>
      </w:r>
      <w:r>
        <w:rPr>
          <w:rFonts w:hint="default" w:eastAsia="Times New Roman"/>
          <w:b/>
          <w:iCs/>
          <w:sz w:val="24"/>
          <w:szCs w:val="24"/>
          <w:lang w:val="pt-BR"/>
        </w:rPr>
        <w:t>1</w:t>
      </w:r>
      <w:r>
        <w:rPr>
          <w:rFonts w:eastAsia="Times New Roman"/>
          <w:b/>
          <w:iCs/>
          <w:sz w:val="24"/>
          <w:szCs w:val="24"/>
        </w:rPr>
        <w:t>.1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R$ 132.750,</w:t>
      </w:r>
      <w:r>
        <w:rPr>
          <w:rFonts w:hint="default" w:eastAsia="Times New Roman"/>
          <w:b/>
          <w:bCs/>
          <w:iCs/>
          <w:sz w:val="24"/>
          <w:szCs w:val="24"/>
          <w:lang w:val="pt-BR"/>
        </w:rPr>
        <w:t>38</w:t>
      </w:r>
      <w:r>
        <w:rPr>
          <w:rFonts w:eastAsia="Times New Roman"/>
          <w:b/>
          <w:bCs/>
          <w:iCs/>
          <w:sz w:val="24"/>
          <w:szCs w:val="24"/>
        </w:rPr>
        <w:t xml:space="preserve"> (cento e trinta e dois mil setecentos e cinquenta reais e trinta e oito centavos).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7.1</w:t>
      </w:r>
      <w:r>
        <w:rPr>
          <w:rFonts w:hint="default" w:eastAsia="Times New Roman"/>
          <w:iCs/>
          <w:sz w:val="24"/>
          <w:szCs w:val="24"/>
          <w:lang w:val="en-US" w:eastAsia="pt-BR"/>
        </w:rPr>
        <w:t>1</w:t>
      </w:r>
      <w:r>
        <w:rPr>
          <w:rFonts w:eastAsia="Times New Roman"/>
          <w:iCs/>
          <w:sz w:val="24"/>
          <w:szCs w:val="24"/>
          <w:lang w:eastAsia="pt-BR"/>
        </w:rPr>
        <w:t xml:space="preserve">.2 No entanto, caso o licitante queira conhecer os valores de cada item constante no edital, o mesmo deverá se dirigir até o Núcleo de Licitações e Contratos, </w:t>
      </w:r>
      <w:r>
        <w:rPr>
          <w:rFonts w:eastAsia="Times New Roman"/>
          <w:sz w:val="24"/>
          <w:szCs w:val="24"/>
          <w:lang w:eastAsia="pt-BR"/>
        </w:rPr>
        <w:t xml:space="preserve">situado na Praça Prefeito Euclides Antônio Fabris nº 343 - Centro, no horário das </w:t>
      </w:r>
      <w:r>
        <w:rPr>
          <w:rFonts w:eastAsia="Times New Roman"/>
          <w:b/>
          <w:bCs/>
          <w:sz w:val="24"/>
          <w:szCs w:val="24"/>
          <w:lang w:eastAsia="pt-BR"/>
        </w:rPr>
        <w:t>07h: 00min às 13h: 00min</w:t>
      </w:r>
      <w:r>
        <w:rPr>
          <w:rFonts w:eastAsia="Times New Roman"/>
          <w:sz w:val="24"/>
          <w:szCs w:val="24"/>
          <w:lang w:eastAsia="pt-BR"/>
        </w:rPr>
        <w:t xml:space="preserve">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7.1</w:t>
      </w:r>
      <w:r>
        <w:rPr>
          <w:rFonts w:hint="default" w:eastAsia="Times New Roman"/>
          <w:sz w:val="24"/>
          <w:szCs w:val="24"/>
          <w:lang w:val="en-US" w:eastAsia="pt-BR"/>
        </w:rPr>
        <w:t>1</w:t>
      </w:r>
      <w:r>
        <w:rPr>
          <w:rFonts w:eastAsia="Times New Roman"/>
          <w:sz w:val="24"/>
          <w:szCs w:val="24"/>
          <w:lang w:eastAsia="pt-BR"/>
        </w:rPr>
        <w:t xml:space="preserve">.3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b/>
          <w:bCs w:val="0"/>
          <w:sz w:val="24"/>
          <w:szCs w:val="24"/>
        </w:rPr>
      </w:pPr>
      <w:r>
        <w:rPr>
          <w:rFonts w:eastAsia="Times New Roman"/>
          <w:b/>
          <w:sz w:val="24"/>
          <w:szCs w:val="24"/>
        </w:rPr>
        <w:t xml:space="preserve">8.2.8 - </w:t>
      </w:r>
      <w:r>
        <w:rPr>
          <w:rFonts w:eastAsia="Times New Roman"/>
          <w:b/>
          <w:bCs w:val="0"/>
          <w:sz w:val="24"/>
          <w:szCs w:val="24"/>
        </w:rPr>
        <w:t>Alvará de Licença para Funcionamento, expedido pelo órgão competente do município da licitante, observando sua validade.</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w:t>
      </w:r>
      <w:r>
        <w:rPr>
          <w:rFonts w:hint="default" w:eastAsia="Times New Roman"/>
          <w:b/>
          <w:bCs/>
          <w:sz w:val="24"/>
          <w:szCs w:val="24"/>
          <w:lang w:val="en-US" w:eastAsia="pt-BR"/>
        </w:rPr>
        <w:t>9</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w:t>
      </w:r>
      <w:r>
        <w:rPr>
          <w:rFonts w:hint="default" w:eastAsia="Times New Roman"/>
          <w:b/>
          <w:bCs/>
          <w:sz w:val="24"/>
          <w:szCs w:val="24"/>
          <w:lang w:val="pt-BR"/>
        </w:rPr>
        <w:t>10</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w:t>
      </w:r>
      <w:r>
        <w:rPr>
          <w:rFonts w:hint="default" w:eastAsia="Times New Roman"/>
          <w:b/>
          <w:sz w:val="24"/>
          <w:szCs w:val="24"/>
          <w:lang w:val="pt-BR"/>
        </w:rPr>
        <w:t>1</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13h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w:t>
      </w:r>
      <w:r>
        <w:rPr>
          <w:rFonts w:hint="default" w:eastAsia="Times New Roman"/>
          <w:sz w:val="24"/>
          <w:szCs w:val="24"/>
          <w:lang w:val="pt-BR"/>
        </w:rPr>
        <w:t xml:space="preserve">, </w:t>
      </w:r>
      <w:r>
        <w:rPr>
          <w:b/>
          <w:iCs/>
          <w:sz w:val="22"/>
          <w:u w:val="single"/>
        </w:rPr>
        <w:t>exceto</w:t>
      </w:r>
      <w:r>
        <w:rPr>
          <w:b/>
          <w:iCs/>
          <w:sz w:val="22"/>
        </w:rPr>
        <w:t xml:space="preserve"> </w:t>
      </w:r>
      <w:r>
        <w:rPr>
          <w:iCs/>
          <w:sz w:val="22"/>
        </w:rPr>
        <w:t xml:space="preserve">se por algum motivo devidamente justificado, os </w:t>
      </w:r>
      <w:r>
        <w:rPr>
          <w:b/>
          <w:iCs/>
          <w:sz w:val="22"/>
        </w:rPr>
        <w:t>itens</w:t>
      </w:r>
      <w:r>
        <w:rPr>
          <w:iCs/>
          <w:sz w:val="22"/>
        </w:rPr>
        <w:t xml:space="preserve"> sofrerem alterações por fatos supervenientes alheio a vontade do contratado, </w:t>
      </w:r>
      <w:r>
        <w:rPr>
          <w:b/>
          <w:iCs/>
          <w:sz w:val="22"/>
        </w:rPr>
        <w:t xml:space="preserve">poderá </w:t>
      </w:r>
      <w:r>
        <w:rPr>
          <w:iCs/>
          <w:sz w:val="22"/>
        </w:rPr>
        <w:t xml:space="preserve">ser reajustada/reequilibrado de acordo com o artigo 40, inciso XI,  </w:t>
      </w:r>
      <w:r>
        <w:rPr>
          <w:bCs/>
          <w:sz w:val="22"/>
        </w:rPr>
        <w:t xml:space="preserve"> art. 55, inc. III, bem como o art. 65 </w:t>
      </w:r>
      <w:r>
        <w:rPr>
          <w:iCs/>
          <w:sz w:val="22"/>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em </w:t>
      </w:r>
      <w:r>
        <w:rPr>
          <w:rFonts w:eastAsia="Times New Roman"/>
          <w:sz w:val="24"/>
          <w:szCs w:val="24"/>
          <w:highlight w:val="yellow"/>
        </w:rPr>
        <w:t>até 10 (dez) dias úteis</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w:t>
      </w:r>
      <w:r>
        <w:rPr>
          <w:rFonts w:hint="default" w:eastAsia="Times New Roman"/>
          <w:b/>
          <w:bCs/>
          <w:sz w:val="24"/>
          <w:szCs w:val="24"/>
          <w:lang w:val="en-US" w:eastAsia="pt-BR"/>
        </w:rPr>
        <w:t>A</w:t>
      </w:r>
      <w:r>
        <w:rPr>
          <w:rFonts w:eastAsia="Times New Roman"/>
          <w:b/>
          <w:bCs/>
          <w:sz w:val="24"/>
          <w:szCs w:val="24"/>
          <w:lang w:eastAsia="pt-BR"/>
        </w:rPr>
        <w:t xml:space="preserve"> </w:t>
      </w:r>
      <w:r>
        <w:rPr>
          <w:rFonts w:hint="default" w:eastAsia="Times New Roman"/>
          <w:b/>
          <w:bCs/>
          <w:sz w:val="24"/>
          <w:szCs w:val="24"/>
          <w:lang w:val="en-US" w:eastAsia="pt-BR"/>
        </w:rPr>
        <w:t>PRESTAÇÃO DE SERVIÇO</w:t>
      </w:r>
      <w:r>
        <w:rPr>
          <w:rFonts w:eastAsia="Times New Roman"/>
          <w:b/>
          <w:bCs/>
          <w:sz w:val="24"/>
          <w:szCs w:val="24"/>
          <w:lang w:eastAsia="pt-BR"/>
        </w:rPr>
        <w:t>:</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none"/>
        </w:rPr>
        <w:t>Local indicado na Ordem de compra/serviço, pelo prazo máximo de 10 (dez)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 xml:space="preserve">A Contratada deverá encaminhar junto a Nota Fiscal, documento em papel timbrado da empresa informando a </w:t>
      </w:r>
      <w:r>
        <w:rPr>
          <w:rFonts w:eastAsia="Times New Roman"/>
          <w:iCs/>
          <w:sz w:val="24"/>
          <w:szCs w:val="24"/>
          <w:lang w:val="pt-BR"/>
        </w:rPr>
        <w:t>Agência</w:t>
      </w:r>
      <w:r>
        <w:rPr>
          <w:rFonts w:eastAsia="Times New Roman"/>
          <w:iCs/>
          <w:sz w:val="24"/>
          <w:szCs w:val="24"/>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hint="default" w:eastAsia="Times New Roman"/>
          <w:iCs/>
          <w:sz w:val="24"/>
          <w:szCs w:val="24"/>
          <w:lang w:val="pt-BR"/>
        </w:rPr>
        <w:t xml:space="preserve">IPCA </w:t>
      </w:r>
      <w:r>
        <w:rPr>
          <w:rFonts w:ascii="Palatino" w:hAnsi="Palatino"/>
          <w:i w:val="0"/>
          <w:iCs w:val="0"/>
          <w:sz w:val="22"/>
          <w:szCs w:val="22"/>
        </w:rPr>
        <w:t xml:space="preserve"> (Índice acumulado nos últimos doze meses)</w:t>
      </w:r>
      <w:r>
        <w:rPr>
          <w:rFonts w:eastAsia="Times New Roman"/>
          <w:iCs/>
          <w:sz w:val="24"/>
          <w:szCs w:val="24"/>
          <w:lang w:eastAsia="pt-BR"/>
        </w:rPr>
        <w:t>.</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ao pregoeiro (a) decidir sobre a petição no prazo de vinte e quatro horas contadas a partir do recebimento do documento pelo Núcleo de Licitações e Contratos, sendo que </w:t>
      </w:r>
      <w:r>
        <w:rPr>
          <w:rFonts w:eastAsia="Times New Roman"/>
          <w:b/>
          <w:color w:val="FF0000"/>
          <w:sz w:val="24"/>
          <w:szCs w:val="24"/>
        </w:rPr>
        <w:t>não serão recebidas solicitações via e-mail ou fax símile</w:t>
      </w:r>
      <w:r>
        <w:rPr>
          <w:rFonts w:eastAsia="Times New Roman"/>
          <w:sz w:val="24"/>
          <w:szCs w:val="24"/>
        </w:rPr>
        <w:t xml:space="preserve">.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19.6.1. </w:t>
      </w:r>
      <w:r>
        <w:rPr>
          <w:rFonts w:eastAsia="Times New Roman"/>
          <w:sz w:val="24"/>
          <w:szCs w:val="24"/>
        </w:rPr>
        <w:t>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hint="default" w:eastAsia="Times New Roman"/>
          <w:b/>
          <w:bCs/>
          <w:color w:val="000000"/>
          <w:sz w:val="24"/>
          <w:szCs w:val="24"/>
          <w:lang w:val="pt-BR"/>
        </w:rPr>
        <w:t>20</w:t>
      </w:r>
      <w:r>
        <w:rPr>
          <w:rFonts w:eastAsia="Times New Roman"/>
          <w:b/>
          <w:bCs/>
          <w:color w:val="000000"/>
          <w:sz w:val="24"/>
          <w:szCs w:val="24"/>
        </w:rPr>
        <w:t xml:space="preserve">.11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w:t>
      </w:r>
      <w:r>
        <w:rPr>
          <w:rFonts w:hint="default" w:eastAsia="Times New Roman"/>
          <w:sz w:val="24"/>
          <w:szCs w:val="24"/>
          <w:lang w:val="pt-BR"/>
        </w:rPr>
        <w:t xml:space="preserve"> com autorização do ordenador de despesas</w:t>
      </w:r>
      <w:r>
        <w:rPr>
          <w:rFonts w:eastAsia="Times New Roman"/>
          <w:sz w:val="24"/>
          <w:szCs w:val="24"/>
        </w:rPr>
        <w:t>,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hint="default" w:eastAsia="Times New Roman"/>
          <w:b/>
          <w:sz w:val="24"/>
          <w:szCs w:val="24"/>
          <w:lang w:val="pt-BR"/>
        </w:rPr>
        <w:t>08 de junho de 2021.</w:t>
      </w:r>
      <w:r>
        <w:rPr>
          <w:rFonts w:eastAsia="Times New Roman"/>
          <w:sz w:val="24"/>
          <w:szCs w:val="24"/>
        </w:rPr>
        <w:t xml:space="preserve"> </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ind w:right="-200" w:rightChars="-100"/>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PREÇOS OBJETIVANDO A CONTRATAÇÃO FUTURA DE EMPRESA ESPECIALIZADA EM REPARAÇÃO DE ARTIGOS MOBILIÁRIOS E REFORMA DE ESTOFADOS, CONFORME TERMO DE REFERÊNCIA PARA ATENDER A GERÊNCIA DE SAÚDE DO MUNICIPAL DE NAVIRAÍ/MS. PEDIDOS DE SERVIÇO Nº 178/2021, 179/2021, 180/2021, 181/2021.</w:t>
      </w:r>
    </w:p>
    <w:p>
      <w:pPr>
        <w:overflowPunct w:val="0"/>
        <w:autoSpaceDE w:val="0"/>
        <w:autoSpaceDN w:val="0"/>
        <w:adjustRightInd w:val="0"/>
        <w:spacing w:after="0" w:line="240" w:lineRule="auto"/>
        <w:jc w:val="both"/>
        <w:textAlignment w:val="baseline"/>
        <w:rPr>
          <w:rFonts w:eastAsia="Times New Roman"/>
          <w:b/>
          <w:bCs/>
          <w:sz w:val="24"/>
          <w:szCs w:val="24"/>
        </w:rPr>
      </w:pPr>
    </w:p>
    <w:tbl>
      <w:tblPr>
        <w:tblStyle w:val="12"/>
        <w:tblW w:w="9504"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14"/>
        <w:gridCol w:w="1132"/>
        <w:gridCol w:w="913"/>
        <w:gridCol w:w="1027"/>
        <w:gridCol w:w="531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11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ITEM</w:t>
            </w:r>
          </w:p>
        </w:tc>
        <w:tc>
          <w:tcPr>
            <w:tcW w:w="1132"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SUBITEM</w:t>
            </w:r>
          </w:p>
        </w:tc>
        <w:tc>
          <w:tcPr>
            <w:tcW w:w="913"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318"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1</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178/21)</w:t>
            </w: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3</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BANCO TIPO MOCHO, C/ TROCA DE ESPUMAS DO ASSENTO E ENCOSTO. TECIDO COURVIN IMPERMEÁVEL, RESISTENTE À ÁLCOOL. COR: AZUL ROYAL. FIXO. MEDIDA DO ASSENTO: 0,38 CM. MEDIDA DO ENCOSTO: 0,39 CM. ESPESSURA MÍNIMA DO COURVIN DE 0,8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4</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COLCHÕES DE MACAS AMBULATORIAIS, C/ TROCA DE ESPUMA. DENSIDADE D-33. REVESTIMENTO EM TECIDO COURVIN IMPERMEÁVEL, RESISTENTE À ÁLCOOL. COR: AZUL ROYAL. ZÍPER DE FÁCIL ENCAIXE AO COLHÃO. MEDIDAS: 0,70 CM DE LARGURA x 1,98 MT DE COMPRIMENTO x 0,8 MM DE ESPESSURA MÍNIMA DO COURVIN.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lang w:val="pt-BR"/>
              </w:rPr>
            </w:pPr>
          </w:p>
          <w:p>
            <w:pPr>
              <w:overflowPunct w:val="0"/>
              <w:autoSpaceDE w:val="0"/>
              <w:autoSpaceDN w:val="0"/>
              <w:adjustRightInd w:val="0"/>
              <w:spacing w:after="0"/>
              <w:jc w:val="both"/>
              <w:textAlignment w:val="baseline"/>
              <w:rPr>
                <w:rFonts w:hint="default" w:eastAsia="Arial Unicode MS"/>
                <w:szCs w:val="20"/>
                <w:lang w:val="pt-BR"/>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2</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179/21)</w:t>
            </w: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3</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180/21)</w:t>
            </w:r>
          </w:p>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4</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181/21)</w:t>
            </w: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bl>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2 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3 PRAZO PARA A ENTREGA DOS MATERIAIS: </w:t>
      </w:r>
      <w:r>
        <w:rPr>
          <w:rFonts w:eastAsia="Times New Roman"/>
          <w:bCs/>
          <w:sz w:val="24"/>
          <w:szCs w:val="24"/>
        </w:rPr>
        <w:t>10 (dez) dias úteis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4 PRAZO PARA SUBSTITUIÇÃO: </w:t>
      </w:r>
      <w:r>
        <w:rPr>
          <w:rFonts w:eastAsia="Times New Roman"/>
          <w:bCs/>
          <w:sz w:val="24"/>
          <w:szCs w:val="24"/>
        </w:rPr>
        <w:t>10 (dez) dias úteis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5 LOCAL DE ENTREGA: </w:t>
      </w:r>
      <w:r>
        <w:rPr>
          <w:rFonts w:eastAsia="Times New Roman"/>
          <w:bCs/>
          <w:sz w:val="24"/>
          <w:szCs w:val="24"/>
        </w:rPr>
        <w:t>Indicado na Ordem de Fornecimento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 QUANTIDADE MINIMA A SER SOLICITADA POR COMPRA: </w:t>
      </w:r>
      <w:r>
        <w:rPr>
          <w:rFonts w:eastAsia="Times New Roman"/>
          <w:bCs/>
          <w:sz w:val="24"/>
          <w:szCs w:val="24"/>
        </w:rPr>
        <w:t>01 (UMA) UNIDADE</w:t>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r>
        <w:drawing>
          <wp:inline distT="0" distB="0" distL="114300" distR="114300">
            <wp:extent cx="6024245" cy="7258050"/>
            <wp:effectExtent l="0" t="0" r="14605" b="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9"/>
                    <a:stretch>
                      <a:fillRect/>
                    </a:stretch>
                  </pic:blipFill>
                  <pic:spPr>
                    <a:xfrm>
                      <a:off x="0" y="0"/>
                      <a:ext cx="6024245" cy="7258050"/>
                    </a:xfrm>
                    <a:prstGeom prst="rect">
                      <a:avLst/>
                    </a:prstGeom>
                    <a:noFill/>
                    <a:ln>
                      <a:noFill/>
                    </a:ln>
                  </pic:spPr>
                </pic:pic>
              </a:graphicData>
            </a:graphic>
          </wp:inline>
        </w:drawing>
      </w: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792470" cy="8128635"/>
            <wp:effectExtent l="0" t="0" r="17780" b="5715"/>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10"/>
                    <a:srcRect l="424" t="-416" r="294" b="1893"/>
                    <a:stretch>
                      <a:fillRect/>
                    </a:stretch>
                  </pic:blipFill>
                  <pic:spPr>
                    <a:xfrm>
                      <a:off x="0" y="0"/>
                      <a:ext cx="5792470" cy="8128635"/>
                    </a:xfrm>
                    <a:prstGeom prst="rect">
                      <a:avLst/>
                    </a:prstGeom>
                    <a:noFill/>
                    <a:ln>
                      <a:noFill/>
                    </a:ln>
                  </pic:spPr>
                </pic:pic>
              </a:graphicData>
            </a:graphic>
          </wp:inline>
        </w:drawing>
      </w:r>
      <w:r>
        <w:drawing>
          <wp:inline distT="0" distB="0" distL="114300" distR="114300">
            <wp:extent cx="5888355" cy="8100695"/>
            <wp:effectExtent l="0" t="0" r="17145" b="14605"/>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1"/>
                    <a:srcRect l="-925" t="1816"/>
                    <a:stretch>
                      <a:fillRect/>
                    </a:stretch>
                  </pic:blipFill>
                  <pic:spPr>
                    <a:xfrm>
                      <a:off x="0" y="0"/>
                      <a:ext cx="5888355" cy="8100695"/>
                    </a:xfrm>
                    <a:prstGeom prst="rect">
                      <a:avLst/>
                    </a:prstGeom>
                    <a:noFill/>
                    <a:ln>
                      <a:noFill/>
                    </a:ln>
                  </pic:spPr>
                </pic:pic>
              </a:graphicData>
            </a:graphic>
          </wp:inline>
        </w:drawing>
      </w:r>
      <w:r>
        <w:drawing>
          <wp:inline distT="0" distB="0" distL="114300" distR="114300">
            <wp:extent cx="5834380" cy="8250555"/>
            <wp:effectExtent l="0" t="0" r="13970" b="17145"/>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2"/>
                    <a:stretch>
                      <a:fillRect/>
                    </a:stretch>
                  </pic:blipFill>
                  <pic:spPr>
                    <a:xfrm>
                      <a:off x="0" y="0"/>
                      <a:ext cx="5834380" cy="8250555"/>
                    </a:xfrm>
                    <a:prstGeom prst="rect">
                      <a:avLst/>
                    </a:prstGeom>
                    <a:noFill/>
                    <a:ln>
                      <a:noFill/>
                    </a:ln>
                  </pic:spPr>
                </pic:pic>
              </a:graphicData>
            </a:graphic>
          </wp:inline>
        </w:drawing>
      </w:r>
      <w:r>
        <w:drawing>
          <wp:inline distT="0" distB="0" distL="114300" distR="114300">
            <wp:extent cx="5834380" cy="8250555"/>
            <wp:effectExtent l="0" t="0" r="13970" b="17145"/>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3"/>
                    <a:srcRect l="882" t="-1370" r="-882" b="1370"/>
                    <a:stretch>
                      <a:fillRect/>
                    </a:stretch>
                  </pic:blipFill>
                  <pic:spPr>
                    <a:xfrm>
                      <a:off x="0" y="0"/>
                      <a:ext cx="5834380" cy="8250555"/>
                    </a:xfrm>
                    <a:prstGeom prst="rect">
                      <a:avLst/>
                    </a:prstGeom>
                    <a:noFill/>
                    <a:ln>
                      <a:noFill/>
                    </a:ln>
                  </pic:spPr>
                </pic:pic>
              </a:graphicData>
            </a:graphic>
          </wp:inline>
        </w:drawing>
      </w:r>
      <w:r>
        <w:drawing>
          <wp:inline distT="0" distB="0" distL="114300" distR="114300">
            <wp:extent cx="5801360" cy="8100060"/>
            <wp:effectExtent l="0" t="0" r="8890" b="1524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4"/>
                    <a:srcRect l="566" t="1824"/>
                    <a:stretch>
                      <a:fillRect/>
                    </a:stretch>
                  </pic:blipFill>
                  <pic:spPr>
                    <a:xfrm>
                      <a:off x="0" y="0"/>
                      <a:ext cx="5801360" cy="8100060"/>
                    </a:xfrm>
                    <a:prstGeom prst="rect">
                      <a:avLst/>
                    </a:prstGeom>
                    <a:noFill/>
                    <a:ln>
                      <a:noFill/>
                    </a:ln>
                  </pic:spPr>
                </pic:pic>
              </a:graphicData>
            </a:graphic>
          </wp:inline>
        </w:drawing>
      </w:r>
      <w:r>
        <w:drawing>
          <wp:inline distT="0" distB="0" distL="114300" distR="114300">
            <wp:extent cx="5834380" cy="8250555"/>
            <wp:effectExtent l="0" t="0" r="13970" b="17145"/>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5"/>
                    <a:srcRect l="325" t="-2956"/>
                    <a:stretch>
                      <a:fillRect/>
                    </a:stretch>
                  </pic:blipFill>
                  <pic:spPr>
                    <a:xfrm>
                      <a:off x="0" y="0"/>
                      <a:ext cx="5834380" cy="825055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sectPr>
          <w:headerReference r:id="rId5" w:type="default"/>
          <w:footerReference r:id="rId6" w:type="default"/>
          <w:footerReference r:id="rId7" w:type="even"/>
          <w:pgSz w:w="11907" w:h="16840"/>
          <w:pgMar w:top="1537" w:right="910" w:bottom="709" w:left="1797" w:header="284" w:footer="459" w:gutter="0"/>
          <w:cols w:space="720" w:num="1"/>
          <w:docGrid w:linePitch="272" w:charSpace="0"/>
        </w:sect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68/2021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tbl>
      <w:tblPr>
        <w:tblStyle w:val="12"/>
        <w:tblW w:w="15425"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4"/>
        <w:gridCol w:w="835"/>
        <w:gridCol w:w="697"/>
        <w:gridCol w:w="7462"/>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hint="default" w:eastAsia="Arial Unicode MS"/>
                <w:b/>
                <w:i/>
                <w:szCs w:val="20"/>
                <w:lang w:val="pt-BR"/>
              </w:rPr>
            </w:pPr>
            <w:r>
              <w:rPr>
                <w:rFonts w:hint="default" w:eastAsia="Arial Unicode MS"/>
                <w:b w:val="0"/>
                <w:bCs/>
                <w:i w:val="0"/>
                <w:iCs/>
                <w:szCs w:val="20"/>
                <w:lang w:val="pt-BR"/>
              </w:rPr>
              <w:t>ITEM</w:t>
            </w:r>
          </w:p>
        </w:tc>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b w:val="0"/>
                <w:bCs/>
                <w:i w:val="0"/>
                <w:iCs/>
                <w:szCs w:val="20"/>
                <w:lang w:val="pt-BR"/>
              </w:rPr>
              <w:t>SUB</w:t>
            </w: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462"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1</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BANCO TIPO MOCHO, C/ TROCA DE ESPUMAS DO ASSENTO E ENCOSTO. TECIDO COURVIN IMPERMEÁVEL, RESISTENTE À ÁLCOOL. COR: AZUL ROYAL. FIXO. MEDIDA DO ASSENTO: 0,38 CM. MEDIDA DO ENCOSTO: 0,39 CM. ESPESSURA MÍNIMA DO COURVIN DE 0,8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COLCHÕES DE MACAS AMBULATORIAIS, C/ TROCA DE ESPUMA. DENSIDADE D-33. REVESTIMENTO EM TECIDO COURVIN IMPERMEÁVEL, RESISTENTE À ÁLCOOL. COR: AZUL ROYAL. ZÍPER DE FÁCIL ENCAIXE AO COLHÃO. MEDIDAS: 0,70 CM DE LARGURA x 1,98 MT DE COMPRIMENTO x 0,8 MM DE ESPESSURA MÍNIMA DO COURVIN.</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2</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3</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4</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68/2021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sectPr>
          <w:pgSz w:w="16840" w:h="11907" w:orient="landscape"/>
          <w:pgMar w:top="1797" w:right="1537" w:bottom="913" w:left="709" w:header="284" w:footer="459" w:gutter="0"/>
          <w:cols w:space="0" w:num="1"/>
          <w:rtlGutter w:val="0"/>
          <w:docGrid w:linePitch="272" w:charSpace="0"/>
        </w:sect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121/2021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68/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 xml:space="preserve">por meio do Fundo Municipal de Saúde, com sede a Avenida Amélia Fukuda nº. 100, inscrito no CGC/MF sob o n.º 11.221.619/0001-42, </w:t>
      </w:r>
      <w:r>
        <w:rPr>
          <w:rFonts w:eastAsia="Times New Roman"/>
          <w:sz w:val="24"/>
          <w:szCs w:val="24"/>
          <w:lang w:eastAsia="pt-BR"/>
        </w:rPr>
        <w:t xml:space="preserve">neste ato representado por </w:t>
      </w:r>
      <w:r>
        <w:rPr>
          <w:b/>
          <w:iCs/>
          <w:sz w:val="22"/>
          <w:szCs w:val="22"/>
          <w:u w:val="single"/>
        </w:rPr>
        <w:t>Marcio Grei Alves Vidal de Figueiredo</w:t>
      </w:r>
      <w:r>
        <w:rPr>
          <w:iCs/>
          <w:sz w:val="22"/>
          <w:szCs w:val="22"/>
        </w:rPr>
        <w:t>, Gerente de Saúde e Ordenador de Despesas conforme Decreto nº. 052/2021, brasileiro, portador do CPF/MF nº. 613.705.841-72 e Cédula de Identidade RG nº. 828.899 SSP/MS, residente e domiciliado nesta cidade a Rua Riachuelo nº 450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68/2021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PREÇOS OBJETIVANDO A CONTRATAÇÃO FUTURA DE EMPRESA ESPECIALIZADA EM REPARAÇÃO DE ARTIGOS MOBILIÁRIOS E REFORMA DE ESTOFADOS, CONFORME TERMO DE REFERÊNCIA PARA ATENDER A GERÊNCIA DE SAÚDE DO MUNICIPAL DE NAVIRAÍ/MS. PEDIDOS DE SERVIÇO Nº 178/2021, 179/2021, 180/2021, 181/2021.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68/2021</w:t>
      </w:r>
      <w:r>
        <w:rPr>
          <w:rFonts w:eastAsia="Times New Roman"/>
          <w:sz w:val="24"/>
          <w:szCs w:val="24"/>
          <w:lang w:eastAsia="pt-BR"/>
        </w:rPr>
        <w:t xml:space="preserve">, Processo n° </w:t>
      </w:r>
      <w:r>
        <w:rPr>
          <w:rFonts w:eastAsia="Times New Roman"/>
          <w:b/>
          <w:sz w:val="24"/>
          <w:szCs w:val="24"/>
          <w:lang w:eastAsia="pt-BR"/>
        </w:rPr>
        <w:t>121/2021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10 (dez)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hint="default" w:eastAsia="Times New Roman"/>
          <w:b/>
          <w:bCs/>
          <w:sz w:val="24"/>
          <w:szCs w:val="24"/>
          <w:lang w:val="en-US" w:eastAsia="pt-BR"/>
        </w:rPr>
      </w:pPr>
      <w:r>
        <w:rPr>
          <w:rFonts w:eastAsia="Times New Roman"/>
          <w:b/>
          <w:bCs/>
          <w:sz w:val="24"/>
          <w:szCs w:val="24"/>
          <w:lang w:eastAsia="pt-BR"/>
        </w:rPr>
        <w:t>CLÁUSULA SÉTIMA - D</w:t>
      </w:r>
      <w:r>
        <w:rPr>
          <w:rFonts w:hint="default" w:eastAsia="Times New Roman"/>
          <w:b/>
          <w:bCs/>
          <w:sz w:val="24"/>
          <w:szCs w:val="24"/>
          <w:lang w:val="en-US" w:eastAsia="pt-BR"/>
        </w:rPr>
        <w:t>A FORMA DE PRESTAÇÃO DE SERVIÇO:</w:t>
      </w:r>
    </w:p>
    <w:p>
      <w:pPr>
        <w:overflowPunct w:val="0"/>
        <w:autoSpaceDE w:val="0"/>
        <w:autoSpaceDN w:val="0"/>
        <w:adjustRightInd w:val="0"/>
        <w:spacing w:after="0" w:line="240" w:lineRule="auto"/>
        <w:jc w:val="both"/>
        <w:textAlignment w:val="baseline"/>
        <w:rPr>
          <w:rFonts w:hint="default" w:eastAsia="Times New Roman"/>
          <w:b/>
          <w:bCs/>
          <w:sz w:val="24"/>
          <w:szCs w:val="24"/>
          <w:lang w:val="en-US" w:eastAsia="pt-BR"/>
        </w:rPr>
      </w:pPr>
    </w:p>
    <w:p>
      <w:pPr>
        <w:overflowPunct w:val="0"/>
        <w:autoSpaceDE w:val="0"/>
        <w:autoSpaceDN w:val="0"/>
        <w:adjustRightInd w:val="0"/>
        <w:spacing w:after="0" w:line="240" w:lineRule="auto"/>
        <w:jc w:val="both"/>
        <w:textAlignment w:val="baseline"/>
        <w:rPr>
          <w:rFonts w:eastAsia="Times New Roman"/>
          <w:sz w:val="24"/>
          <w:szCs w:val="24"/>
          <w:highlight w:val="none"/>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none"/>
        </w:rPr>
        <w:t>Local indicado na Ordem de Fornecimento, pelo prazo máximo de 10 (dez) dias úteis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hint="default" w:eastAsia="Times New Roman"/>
          <w:iCs/>
          <w:sz w:val="24"/>
          <w:szCs w:val="24"/>
          <w:lang w:val="pt-BR"/>
        </w:rPr>
        <w:t xml:space="preserve">IPCA </w:t>
      </w:r>
      <w:r>
        <w:rPr>
          <w:rFonts w:ascii="Palatino" w:hAnsi="Palatino"/>
          <w:i w:val="0"/>
          <w:iCs w:val="0"/>
          <w:sz w:val="22"/>
          <w:szCs w:val="22"/>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center"/>
              <w:textAlignment w:val="baseline"/>
              <w:rPr>
                <w:b/>
                <w:iCs/>
                <w:sz w:val="22"/>
                <w:szCs w:val="22"/>
                <w:lang w:eastAsia="en-US"/>
              </w:rPr>
            </w:pPr>
            <w:r>
              <w:rPr>
                <w:b/>
                <w:bCs/>
                <w:sz w:val="22"/>
              </w:rPr>
              <w:t>MÁRCIO GREI ALVES VIDAL DE FIGUEIREDO</w:t>
            </w:r>
          </w:p>
          <w:p>
            <w:pPr>
              <w:widowControl w:val="0"/>
              <w:tabs>
                <w:tab w:val="left" w:pos="5562"/>
              </w:tabs>
              <w:spacing w:after="0"/>
              <w:ind w:right="33"/>
              <w:jc w:val="center"/>
              <w:textAlignment w:val="baseline"/>
              <w:rPr>
                <w:b/>
                <w:iCs/>
                <w:sz w:val="22"/>
                <w:szCs w:val="22"/>
                <w:lang w:eastAsia="en-US"/>
              </w:rPr>
            </w:pPr>
            <w:r>
              <w:rPr>
                <w:rFonts w:eastAsia="MS Mincho"/>
                <w:b/>
                <w:iCs/>
                <w:sz w:val="22"/>
                <w:szCs w:val="22"/>
                <w:lang w:eastAsia="en-US"/>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szCs w:val="22"/>
                <w:lang w:eastAsia="en-US"/>
              </w:rPr>
              <w:t>Conforme Decreto nº. 052/2021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68/2021</w:t>
      </w:r>
      <w:r>
        <w:rPr>
          <w:rFonts w:eastAsia="Times New Roman"/>
          <w:sz w:val="24"/>
          <w:szCs w:val="24"/>
          <w:lang w:eastAsia="pt-BR"/>
        </w:rPr>
        <w:t xml:space="preserve"> – Processo nº. </w:t>
      </w:r>
      <w:r>
        <w:rPr>
          <w:rFonts w:eastAsia="Times New Roman"/>
          <w:b/>
          <w:sz w:val="24"/>
          <w:szCs w:val="24"/>
          <w:lang w:eastAsia="pt-BR"/>
        </w:rPr>
        <w:t>121/2021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center"/>
              <w:textAlignment w:val="baseline"/>
              <w:rPr>
                <w:b/>
                <w:iCs/>
                <w:sz w:val="22"/>
                <w:szCs w:val="22"/>
                <w:lang w:eastAsia="en-US"/>
              </w:rPr>
            </w:pPr>
            <w:r>
              <w:rPr>
                <w:b/>
                <w:bCs/>
                <w:sz w:val="22"/>
              </w:rPr>
              <w:t>MÁRCIO GREI ALVES VIDAL DE FIGUEIREDO</w:t>
            </w:r>
          </w:p>
          <w:p>
            <w:pPr>
              <w:widowControl w:val="0"/>
              <w:tabs>
                <w:tab w:val="left" w:pos="5562"/>
              </w:tabs>
              <w:spacing w:after="0"/>
              <w:ind w:right="33"/>
              <w:jc w:val="center"/>
              <w:textAlignment w:val="baseline"/>
              <w:rPr>
                <w:b/>
                <w:iCs/>
                <w:sz w:val="22"/>
                <w:szCs w:val="22"/>
                <w:lang w:eastAsia="en-US"/>
              </w:rPr>
            </w:pPr>
            <w:r>
              <w:rPr>
                <w:rFonts w:eastAsia="MS Mincho"/>
                <w:b/>
                <w:iCs/>
                <w:sz w:val="22"/>
                <w:szCs w:val="22"/>
                <w:lang w:eastAsia="en-US"/>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szCs w:val="22"/>
                <w:lang w:eastAsia="en-US"/>
              </w:rPr>
              <w:t>Conforme Decreto nº. 052/2021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68/2021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hint="default" w:eastAsia="Times New Roman"/>
          <w:b/>
          <w:iCs/>
          <w:sz w:val="24"/>
          <w:szCs w:val="24"/>
          <w:lang w:val="pt-BR"/>
        </w:rPr>
      </w:pPr>
      <w:r>
        <w:rPr>
          <w:rFonts w:eastAsia="Times New Roman"/>
          <w:b/>
          <w:iCs/>
          <w:sz w:val="24"/>
          <w:szCs w:val="24"/>
        </w:rPr>
        <w:t>MINUTA DO CONTRATO Nº. ____/</w:t>
      </w:r>
      <w:r>
        <w:rPr>
          <w:rFonts w:hint="default" w:eastAsia="Times New Roman"/>
          <w:b/>
          <w:iCs/>
          <w:sz w:val="24"/>
          <w:szCs w:val="24"/>
          <w:lang w:val="pt-BR"/>
        </w:rPr>
        <w:t>_____</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b/>
          <w:iCs/>
          <w:sz w:val="22"/>
          <w:szCs w:val="22"/>
          <w:u w:val="single"/>
        </w:rPr>
        <w:t>Marcio Grei Alves Vidal de Figueiredo</w:t>
      </w:r>
      <w:r>
        <w:rPr>
          <w:iCs/>
          <w:sz w:val="22"/>
          <w:szCs w:val="22"/>
        </w:rPr>
        <w:t>, Gerente de Saúde e Ordenador de Despesas conforme Decreto nº. 052/2021, brasileiro, portador do CPF/MF nº. 613.705.841-72 e Cédula de Identidade RG nº. 828.899 SSP/MS, residente e domiciliado nesta cidade a Rua Riachuelo nº 450 – Centro</w:t>
      </w:r>
      <w:r>
        <w:rPr>
          <w:rFonts w:eastAsia="Times New Roman"/>
          <w:sz w:val="24"/>
          <w:szCs w:val="24"/>
        </w:rPr>
        <w:t xml:space="preserve">. </w:t>
      </w:r>
      <w:r>
        <w:rPr>
          <w:rFonts w:eastAsia="Times New Roman"/>
          <w:iCs/>
          <w:sz w:val="24"/>
          <w:szCs w:val="24"/>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121/2021</w:t>
      </w:r>
      <w:r>
        <w:rPr>
          <w:rFonts w:eastAsia="Times New Roman"/>
          <w:iCs/>
          <w:sz w:val="24"/>
          <w:szCs w:val="24"/>
          <w:lang w:eastAsia="pt-BR"/>
        </w:rPr>
        <w:t xml:space="preserve">, gerado pelo </w:t>
      </w:r>
      <w:r>
        <w:rPr>
          <w:rFonts w:eastAsia="Times New Roman"/>
          <w:b/>
          <w:iCs/>
          <w:sz w:val="24"/>
          <w:szCs w:val="24"/>
          <w:lang w:eastAsia="pt-BR"/>
        </w:rPr>
        <w:t>Pregão Presencial nº. 68/2021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 xml:space="preserve"> CONTRATAÇÃO  DE EMPRESA ESPECIALIZADA EM REPARAÇÃO DE ARTIGOS MOBILIÁRIOS E REFORMA DE ESTOFADOS, CONFORME TERMO DE REFERÊNCIA PARA ATENDER A GERÊNCIA DE SAÚDE DO MUNICIPAL DE NAVIRAÍ/MS. PEDIDOS DE SERVIÇO Nº 178/2021, 179/2021, 180/2021, 181/2021.</w:t>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 xml:space="preserve">CLÁUSULA TERCEIRA - </w:t>
      </w:r>
      <w:r>
        <w:rPr>
          <w:rFonts w:hint="default" w:eastAsia="Times New Roman"/>
          <w:b/>
          <w:bCs/>
          <w:sz w:val="24"/>
          <w:szCs w:val="24"/>
          <w:lang w:val="en-US" w:eastAsia="pt-BR"/>
        </w:rPr>
        <w:t>FORMA DE PRESTAÇÃO DE SERVIÇO: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highlight w:val="none"/>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w:t>
      </w:r>
      <w:r>
        <w:rPr>
          <w:rFonts w:hint="default" w:eastAsia="Times New Roman"/>
          <w:sz w:val="24"/>
          <w:szCs w:val="24"/>
          <w:lang w:val="pt-BR"/>
        </w:rPr>
        <w:t>Local indicado na ordem de compra/serviço</w:t>
      </w:r>
      <w:r>
        <w:rPr>
          <w:rFonts w:eastAsia="Times New Roman"/>
          <w:sz w:val="24"/>
          <w:szCs w:val="24"/>
        </w:rPr>
        <w:t xml:space="preserve">, pelo prazo máximo de </w:t>
      </w:r>
      <w:r>
        <w:rPr>
          <w:rFonts w:eastAsia="Times New Roman"/>
          <w:sz w:val="24"/>
          <w:szCs w:val="24"/>
          <w:highlight w:val="none"/>
        </w:rPr>
        <w:t>10 (dez) dias úteis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rPr>
          <w:rFonts w:hint="default" w:eastAsia="Times New Roman"/>
          <w:b/>
          <w:bCs/>
          <w:iCs/>
          <w:sz w:val="24"/>
          <w:szCs w:val="24"/>
          <w:lang w:val="pt-BR"/>
        </w:rPr>
        <w:t>3.5 - TERMO DE REFERÊNCIA</w:t>
      </w: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drawing>
          <wp:inline distT="0" distB="0" distL="114300" distR="114300">
            <wp:extent cx="6024245" cy="7258050"/>
            <wp:effectExtent l="0" t="0" r="14605" b="0"/>
            <wp:docPr id="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
                    <pic:cNvPicPr>
                      <a:picLocks noChangeAspect="1"/>
                    </pic:cNvPicPr>
                  </pic:nvPicPr>
                  <pic:blipFill>
                    <a:blip r:embed="rId9"/>
                    <a:stretch>
                      <a:fillRect/>
                    </a:stretch>
                  </pic:blipFill>
                  <pic:spPr>
                    <a:xfrm>
                      <a:off x="0" y="0"/>
                      <a:ext cx="6024245" cy="7258050"/>
                    </a:xfrm>
                    <a:prstGeom prst="rect">
                      <a:avLst/>
                    </a:prstGeom>
                    <a:noFill/>
                    <a:ln>
                      <a:noFill/>
                    </a:ln>
                  </pic:spPr>
                </pic:pic>
              </a:graphicData>
            </a:graphic>
          </wp:inline>
        </w:drawing>
      </w: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drawing>
          <wp:inline distT="0" distB="0" distL="114300" distR="114300">
            <wp:extent cx="5792470" cy="8128635"/>
            <wp:effectExtent l="0" t="0" r="17780" b="5715"/>
            <wp:docPr id="1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3"/>
                    <pic:cNvPicPr>
                      <a:picLocks noChangeAspect="1"/>
                    </pic:cNvPicPr>
                  </pic:nvPicPr>
                  <pic:blipFill>
                    <a:blip r:embed="rId10"/>
                    <a:srcRect l="424" t="-416" r="294" b="1893"/>
                    <a:stretch>
                      <a:fillRect/>
                    </a:stretch>
                  </pic:blipFill>
                  <pic:spPr>
                    <a:xfrm>
                      <a:off x="0" y="0"/>
                      <a:ext cx="5792470" cy="8128635"/>
                    </a:xfrm>
                    <a:prstGeom prst="rect">
                      <a:avLst/>
                    </a:prstGeom>
                    <a:noFill/>
                    <a:ln>
                      <a:noFill/>
                    </a:ln>
                  </pic:spPr>
                </pic:pic>
              </a:graphicData>
            </a:graphic>
          </wp:inline>
        </w:drawing>
      </w: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drawing>
          <wp:inline distT="0" distB="0" distL="114300" distR="114300">
            <wp:extent cx="5888355" cy="8100695"/>
            <wp:effectExtent l="0" t="0" r="17145" b="14605"/>
            <wp:docPr id="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4"/>
                    <pic:cNvPicPr>
                      <a:picLocks noChangeAspect="1"/>
                    </pic:cNvPicPr>
                  </pic:nvPicPr>
                  <pic:blipFill>
                    <a:blip r:embed="rId11"/>
                    <a:srcRect l="-925" t="1816"/>
                    <a:stretch>
                      <a:fillRect/>
                    </a:stretch>
                  </pic:blipFill>
                  <pic:spPr>
                    <a:xfrm>
                      <a:off x="0" y="0"/>
                      <a:ext cx="5888355" cy="8100695"/>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34380" cy="8250555"/>
            <wp:effectExtent l="0" t="0" r="13970" b="17145"/>
            <wp:docPr id="1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5"/>
                    <pic:cNvPicPr>
                      <a:picLocks noChangeAspect="1"/>
                    </pic:cNvPicPr>
                  </pic:nvPicPr>
                  <pic:blipFill>
                    <a:blip r:embed="rId12"/>
                    <a:stretch>
                      <a:fillRect/>
                    </a:stretch>
                  </pic:blipFill>
                  <pic:spPr>
                    <a:xfrm>
                      <a:off x="0" y="0"/>
                      <a:ext cx="5834380" cy="8250555"/>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34380" cy="8250555"/>
            <wp:effectExtent l="0" t="0" r="13970" b="17145"/>
            <wp:docPr id="1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6"/>
                    <pic:cNvPicPr>
                      <a:picLocks noChangeAspect="1"/>
                    </pic:cNvPicPr>
                  </pic:nvPicPr>
                  <pic:blipFill>
                    <a:blip r:embed="rId13"/>
                    <a:srcRect l="882" t="-1370" r="-882" b="1370"/>
                    <a:stretch>
                      <a:fillRect/>
                    </a:stretch>
                  </pic:blipFill>
                  <pic:spPr>
                    <a:xfrm>
                      <a:off x="0" y="0"/>
                      <a:ext cx="5834380" cy="8250555"/>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01360" cy="8100060"/>
            <wp:effectExtent l="0" t="0" r="8890" b="15240"/>
            <wp:docPr id="1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7"/>
                    <pic:cNvPicPr>
                      <a:picLocks noChangeAspect="1"/>
                    </pic:cNvPicPr>
                  </pic:nvPicPr>
                  <pic:blipFill>
                    <a:blip r:embed="rId14"/>
                    <a:srcRect l="566" t="1824"/>
                    <a:stretch>
                      <a:fillRect/>
                    </a:stretch>
                  </pic:blipFill>
                  <pic:spPr>
                    <a:xfrm>
                      <a:off x="0" y="0"/>
                      <a:ext cx="5801360" cy="8100060"/>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34380" cy="8250555"/>
            <wp:effectExtent l="0" t="0" r="13970" b="17145"/>
            <wp:docPr id="1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8"/>
                    <pic:cNvPicPr>
                      <a:picLocks noChangeAspect="1"/>
                    </pic:cNvPicPr>
                  </pic:nvPicPr>
                  <pic:blipFill>
                    <a:blip r:embed="rId15"/>
                    <a:srcRect l="325" t="-2956"/>
                    <a:stretch>
                      <a:fillRect/>
                    </a:stretch>
                  </pic:blipFill>
                  <pic:spPr>
                    <a:xfrm>
                      <a:off x="0" y="0"/>
                      <a:ext cx="5834380" cy="8250555"/>
                    </a:xfrm>
                    <a:prstGeom prst="rect">
                      <a:avLst/>
                    </a:prstGeom>
                    <a:noFill/>
                    <a:ln>
                      <a:noFill/>
                    </a:ln>
                  </pic:spPr>
                </pic:pic>
              </a:graphicData>
            </a:graphic>
          </wp:inline>
        </w:drawing>
      </w: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hint="default" w:eastAsia="Times New Roman"/>
          <w:iCs/>
          <w:sz w:val="24"/>
          <w:szCs w:val="24"/>
          <w:lang w:val="pt-BR"/>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w:t>
      </w:r>
      <w:r>
        <w:rPr>
          <w:rFonts w:hint="default" w:eastAsia="Times New Roman"/>
          <w:iCs/>
          <w:sz w:val="24"/>
          <w:szCs w:val="24"/>
          <w:lang w:val="pt-BR"/>
        </w:rPr>
        <w:t xml:space="preserve">, </w:t>
      </w:r>
      <w:r>
        <w:rPr>
          <w:b/>
          <w:iCs/>
          <w:sz w:val="22"/>
          <w:u w:val="single"/>
        </w:rPr>
        <w:t>exceto</w:t>
      </w:r>
      <w:r>
        <w:rPr>
          <w:b/>
          <w:iCs/>
          <w:sz w:val="22"/>
        </w:rPr>
        <w:t xml:space="preserve"> </w:t>
      </w:r>
      <w:r>
        <w:rPr>
          <w:iCs/>
          <w:sz w:val="22"/>
        </w:rPr>
        <w:t xml:space="preserve">se por algum motivo devidamente justificado, os </w:t>
      </w:r>
      <w:r>
        <w:rPr>
          <w:b/>
          <w:iCs/>
          <w:sz w:val="22"/>
        </w:rPr>
        <w:t>itens</w:t>
      </w:r>
      <w:r>
        <w:rPr>
          <w:iCs/>
          <w:sz w:val="22"/>
        </w:rPr>
        <w:t xml:space="preserve"> sofrerem alterações por fatos supervenientes alheio a vontade do contratado, </w:t>
      </w:r>
      <w:r>
        <w:rPr>
          <w:b/>
          <w:iCs/>
          <w:sz w:val="22"/>
        </w:rPr>
        <w:t xml:space="preserve">poderá </w:t>
      </w:r>
      <w:r>
        <w:rPr>
          <w:iCs/>
          <w:sz w:val="22"/>
        </w:rPr>
        <w:t xml:space="preserve">ser reajustada/reequilibrado de acordo com o artigo 40, inciso XI,  </w:t>
      </w:r>
      <w:r>
        <w:rPr>
          <w:bCs/>
          <w:sz w:val="22"/>
        </w:rPr>
        <w:t xml:space="preserve"> art. 55, inc. III, bem como o art. 65 </w:t>
      </w:r>
      <w:r>
        <w:rPr>
          <w:iCs/>
          <w:sz w:val="22"/>
        </w:rPr>
        <w:t>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center"/>
              <w:textAlignment w:val="baseline"/>
              <w:rPr>
                <w:b/>
                <w:iCs/>
                <w:sz w:val="22"/>
                <w:szCs w:val="22"/>
                <w:lang w:eastAsia="en-US"/>
              </w:rPr>
            </w:pPr>
            <w:r>
              <w:rPr>
                <w:b/>
                <w:bCs/>
                <w:sz w:val="22"/>
              </w:rPr>
              <w:t>MÁRCIO GREI ALVES VIDAL DE FIGUEIREDO</w:t>
            </w:r>
          </w:p>
          <w:p>
            <w:pPr>
              <w:widowControl w:val="0"/>
              <w:tabs>
                <w:tab w:val="left" w:pos="5562"/>
              </w:tabs>
              <w:spacing w:after="0"/>
              <w:ind w:right="33"/>
              <w:jc w:val="center"/>
              <w:textAlignment w:val="baseline"/>
              <w:rPr>
                <w:b/>
                <w:iCs/>
                <w:sz w:val="22"/>
                <w:szCs w:val="22"/>
                <w:lang w:eastAsia="en-US"/>
              </w:rPr>
            </w:pPr>
            <w:r>
              <w:rPr>
                <w:rFonts w:eastAsia="MS Mincho"/>
                <w:b/>
                <w:iCs/>
                <w:sz w:val="22"/>
                <w:szCs w:val="22"/>
                <w:lang w:eastAsia="en-US"/>
              </w:rPr>
              <w:t>Gerente de Saúde e Ordenador de Despesas</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szCs w:val="22"/>
                <w:lang w:eastAsia="en-US"/>
              </w:rPr>
              <w:t>Conforme Decreto nº. 052/2021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w:t>
      </w:r>
      <w:r>
        <w:rPr>
          <w:rFonts w:hint="default" w:eastAsia="Times New Roman"/>
          <w:sz w:val="24"/>
          <w:szCs w:val="24"/>
          <w:lang w:val="pt-BR"/>
        </w:rPr>
        <w:t xml:space="preserve"> 068/2021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68/2021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hint="default" w:eastAsia="Times New Roman"/>
          <w:b/>
          <w:bCs/>
          <w:sz w:val="24"/>
          <w:szCs w:val="24"/>
          <w:lang w:val="pt-BR"/>
        </w:rPr>
        <w:t>068/2021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sectPr>
      <w:pgSz w:w="11907" w:h="16840"/>
      <w:pgMar w:top="1536" w:right="913" w:bottom="709" w:left="1797" w:header="284" w:footer="459" w:gutter="0"/>
      <w:cols w:space="0" w:num="1"/>
      <w:rtlGutter w:val="0"/>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0"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1</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7CBB"/>
    <w:rsid w:val="00427CBB"/>
    <w:rsid w:val="005A691A"/>
    <w:rsid w:val="00684941"/>
    <w:rsid w:val="02457AAE"/>
    <w:rsid w:val="1F9B1DA3"/>
    <w:rsid w:val="24377F0B"/>
    <w:rsid w:val="296C2E72"/>
    <w:rsid w:val="335E4D4C"/>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uiPriority w:val="1"/>
  </w:style>
  <w:style w:type="table" w:default="1" w:styleId="12">
    <w:name w:val="Normal Table"/>
    <w:semiHidden/>
    <w:unhideWhenUsed/>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uiPriority w:val="0"/>
  </w:style>
  <w:style w:type="paragraph" w:styleId="16">
    <w:name w:val="Body Text"/>
    <w:basedOn w:val="1"/>
    <w:link w:val="40"/>
    <w:qFormat/>
    <w:uiPriority w:val="0"/>
    <w:pPr>
      <w:spacing w:after="0" w:line="240" w:lineRule="auto"/>
      <w:jc w:val="both"/>
    </w:pPr>
    <w:rPr>
      <w:rFonts w:eastAsia="Times New Roman"/>
      <w:sz w:val="24"/>
      <w:szCs w:val="24"/>
      <w:lang w:eastAsia="pt-BR"/>
    </w:rPr>
  </w:style>
  <w:style w:type="paragraph" w:styleId="17">
    <w:name w:val="Block Text"/>
    <w:basedOn w:val="1"/>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qFormat/>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uiPriority w:val="0"/>
    <w:rPr>
      <w:rFonts w:ascii="Arial" w:hAnsi="Arial" w:eastAsia="Times New Roman" w:cs="Times New Roman"/>
      <w:b/>
      <w:color w:val="FF0000"/>
      <w:szCs w:val="20"/>
      <w:lang w:eastAsia="pt-BR"/>
    </w:rPr>
  </w:style>
  <w:style w:type="character" w:customStyle="1" w:styleId="31">
    <w:name w:val="Título 4 Char"/>
    <w:basedOn w:val="11"/>
    <w:link w:val="5"/>
    <w:uiPriority w:val="0"/>
    <w:rPr>
      <w:rFonts w:ascii="Arial" w:hAnsi="Arial" w:eastAsia="Times New Roman" w:cs="Times New Roman"/>
      <w:b/>
      <w:szCs w:val="20"/>
      <w:lang w:eastAsia="pt-BR"/>
    </w:rPr>
  </w:style>
  <w:style w:type="character" w:customStyle="1" w:styleId="32">
    <w:name w:val="Título 5 Char"/>
    <w:basedOn w:val="11"/>
    <w:link w:val="6"/>
    <w:uiPriority w:val="0"/>
    <w:rPr>
      <w:rFonts w:ascii="Arial" w:hAnsi="Arial" w:eastAsia="Times New Roman" w:cs="Times New Roman"/>
      <w:b/>
      <w:szCs w:val="20"/>
      <w:lang w:eastAsia="pt-BR"/>
    </w:rPr>
  </w:style>
  <w:style w:type="character" w:customStyle="1" w:styleId="33">
    <w:name w:val="Título 6 Char"/>
    <w:basedOn w:val="11"/>
    <w:link w:val="7"/>
    <w:uiPriority w:val="0"/>
    <w:rPr>
      <w:rFonts w:ascii="Arial" w:hAnsi="Arial" w:eastAsia="Times New Roman" w:cs="Arial"/>
      <w:i/>
      <w:sz w:val="24"/>
      <w:szCs w:val="20"/>
      <w:lang w:eastAsia="pt-BR"/>
    </w:rPr>
  </w:style>
  <w:style w:type="character" w:customStyle="1" w:styleId="34">
    <w:name w:val="Título 7 Char"/>
    <w:basedOn w:val="11"/>
    <w:link w:val="8"/>
    <w:uiPriority w:val="0"/>
    <w:rPr>
      <w:rFonts w:ascii="Arial" w:hAnsi="Arial" w:eastAsia="Times New Roman" w:cs="Arial"/>
      <w:b/>
      <w:bCs/>
      <w:sz w:val="21"/>
      <w:szCs w:val="20"/>
    </w:rPr>
  </w:style>
  <w:style w:type="character" w:customStyle="1" w:styleId="35">
    <w:name w:val="Título 8 Char"/>
    <w:basedOn w:val="11"/>
    <w:link w:val="9"/>
    <w:uiPriority w:val="0"/>
    <w:rPr>
      <w:rFonts w:ascii="Arial" w:hAnsi="Arial" w:eastAsia="Times New Roman" w:cs="Arial"/>
      <w:i/>
      <w:sz w:val="24"/>
      <w:szCs w:val="20"/>
      <w:lang w:eastAsia="pt-BR"/>
    </w:rPr>
  </w:style>
  <w:style w:type="character" w:customStyle="1" w:styleId="36">
    <w:name w:val="Título 9 Char"/>
    <w:basedOn w:val="11"/>
    <w:link w:val="10"/>
    <w:uiPriority w:val="0"/>
    <w:rPr>
      <w:rFonts w:ascii="Arial" w:hAnsi="Arial" w:eastAsia="Times New Roman" w:cs="Arial"/>
      <w:i/>
      <w:sz w:val="28"/>
      <w:szCs w:val="20"/>
      <w:lang w:eastAsia="pt-BR"/>
    </w:rPr>
  </w:style>
  <w:style w:type="character" w:customStyle="1" w:styleId="37">
    <w:name w:val="Rodapé Char"/>
    <w:basedOn w:val="11"/>
    <w:link w:val="23"/>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qFormat/>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qFormat/>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qFormat/>
    <w:uiPriority w:val="0"/>
    <w:rPr>
      <w:rFonts w:ascii="Arial" w:hAnsi="Arial" w:eastAsia="Times New Roman" w:cs="Arial"/>
      <w:i/>
      <w:sz w:val="20"/>
      <w:szCs w:val="20"/>
      <w:lang w:eastAsia="pt-BR"/>
    </w:rPr>
  </w:style>
  <w:style w:type="paragraph" w:customStyle="1" w:styleId="45">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qFormat/>
    <w:uiPriority w:val="0"/>
    <w:rPr>
      <w:rFonts w:ascii="Arial" w:hAnsi="Arial" w:eastAsia="Times New Roman" w:cs="Arial"/>
      <w:bCs/>
      <w:sz w:val="21"/>
      <w:szCs w:val="20"/>
    </w:rPr>
  </w:style>
  <w:style w:type="paragraph" w:customStyle="1" w:styleId="47">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qFormat/>
    <w:uiPriority w:val="0"/>
    <w:pPr>
      <w:ind w:left="720"/>
      <w:contextualSpacing/>
    </w:pPr>
    <w:rPr>
      <w:rFonts w:eastAsia="Times New Roman"/>
      <w:szCs w:val="20"/>
    </w:rPr>
  </w:style>
  <w:style w:type="paragraph" w:customStyle="1" w:styleId="49">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qFormat/>
    <w:uiPriority w:val="0"/>
    <w:rPr>
      <w:sz w:val="24"/>
      <w:szCs w:val="24"/>
      <w:lang w:val="zh-CN" w:eastAsia="zh-CN"/>
    </w:rPr>
  </w:style>
  <w:style w:type="character" w:customStyle="1" w:styleId="52">
    <w:name w:val="Corpo de texto 2 Char1"/>
    <w:qFormat/>
    <w:locked/>
    <w:uiPriority w:val="0"/>
    <w:rPr>
      <w:rFonts w:hint="default" w:ascii="Arial" w:hAnsi="Arial" w:eastAsia="Times New Roman" w:cs="Times New Roman"/>
      <w:i/>
      <w:sz w:val="20"/>
      <w:szCs w:val="20"/>
      <w:lang w:val="zh-CN" w:eastAsia="zh-CN"/>
    </w:rPr>
  </w:style>
  <w:style w:type="character" w:customStyle="1" w:styleId="53">
    <w:name w:val="Recuo de corpo de texto 3 Char1"/>
    <w:qFormat/>
    <w:locked/>
    <w:uiPriority w:val="0"/>
    <w:rPr>
      <w:rFonts w:hint="default" w:ascii="Arial" w:hAnsi="Arial" w:eastAsia="Times New Roman" w:cs="Times New Roman"/>
      <w:bCs/>
      <w:sz w:val="21"/>
      <w:szCs w:val="20"/>
      <w:lang w:val="zh-CN"/>
    </w:rPr>
  </w:style>
  <w:style w:type="paragraph" w:customStyle="1" w:styleId="5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uiPriority w:val="99"/>
    <w:rPr>
      <w:rFonts w:ascii="Times New Roman" w:hAnsi="Times New Roman" w:eastAsia="Times New Roman" w:cs="Times New Roman"/>
      <w:b/>
      <w:sz w:val="23"/>
      <w:szCs w:val="20"/>
      <w:lang w:val="zh-CN" w:eastAsia="zh-CN"/>
    </w:rPr>
  </w:style>
  <w:style w:type="table" w:customStyle="1" w:styleId="58">
    <w:name w:val="Tabela com grade1"/>
    <w:basedOn w:val="12"/>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46</Pages>
  <Words>16958</Words>
  <Characters>91579</Characters>
  <Lines>763</Lines>
  <Paragraphs>216</Paragraphs>
  <TotalTime>22</TotalTime>
  <ScaleCrop>false</ScaleCrop>
  <LinksUpToDate>false</LinksUpToDate>
  <CharactersWithSpaces>108321</CharactersWithSpaces>
  <Application>WPS Office_11.2.0.10130_F1E327BC-269C-435d-A152-05C5408002CA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2021-06-08T18:34:00Z</dcterms:created>
  <dc:creator>JAQUELINE MARIA GARCIA MASCIOLLI</dc:creator>
  <cp:lastModifiedBy>Usuario</cp:lastModifiedBy>
  <cp:lastPrinted>2021-06-09T15:39:00Z</cp:lastPrinted>
  <dcterms:modified xsi:type="dcterms:W3CDTF">2021-06-11T12:47:36Z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1046-11.2.0.10130</vt:lpwstr>
  </property>
</Properties>
</file>