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112/2021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sito na Praça Prefeito Euclides Antônio Fabris, nº 343,</w:t>
      </w:r>
      <w:bookmarkStart w:id="0" w:name="_GoBack"/>
      <w:bookmarkEnd w:id="0"/>
      <w:r>
        <w:rPr>
          <w:rFonts w:eastAsia="Times New Roman"/>
          <w:sz w:val="24"/>
          <w:szCs w:val="24"/>
          <w:lang w:eastAsia="pt-BR"/>
        </w:rPr>
        <w:t xml:space="preserve">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hint="default" w:eastAsia="Times New Roman"/>
          <w:sz w:val="24"/>
          <w:szCs w:val="24"/>
          <w:lang w:val="en-US" w:eastAsia="pt-BR"/>
        </w:rPr>
        <w:t>a</w:t>
      </w:r>
      <w:r>
        <w:rPr>
          <w:rFonts w:eastAsia="Times New Roman"/>
          <w:sz w:val="24"/>
          <w:szCs w:val="24"/>
          <w:lang w:eastAsia="pt-BR"/>
        </w:rPr>
        <w:t xml:space="preserve">s instituída pelas Portarias nº. 110 de 19 de fevereiro de 2021 e 142 de 26 de fevereiro de 2021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bCs/>
          <w:snapToGrid w:val="0"/>
          <w:sz w:val="24"/>
          <w:szCs w:val="24"/>
          <w:highlight w:val="none"/>
          <w:lang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w:t>
      </w:r>
      <w:r>
        <w:rPr>
          <w:rFonts w:hint="default" w:eastAsia="Times New Roman"/>
          <w:b/>
          <w:bCs/>
          <w:snapToGrid w:val="0"/>
          <w:sz w:val="24"/>
          <w:szCs w:val="24"/>
          <w:highlight w:val="none"/>
          <w:lang w:val="en-US" w:eastAsia="pt-BR"/>
        </w:rPr>
        <w:t>23 de junho de 2021</w:t>
      </w:r>
      <w:r>
        <w:rPr>
          <w:rFonts w:eastAsia="Times New Roman"/>
          <w:b/>
          <w:bCs/>
          <w:snapToGrid w:val="0"/>
          <w:sz w:val="24"/>
          <w:szCs w:val="24"/>
          <w:highlight w:val="none"/>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AQUISIÇÃO FUTURA DE CARGA E BOTIJÃO DE GÁS, CONFORME TERMO DE REFERÊNCIA, PARA ATENDER AS GERÊNCIAS DO MUNICÍPIO DE NAVIRAÍ/MS. PEDIDOS DE COMPRA Nº 003/2021, 016/2021, 020/2021, 008/2021, 025/2021, 049/2021, 015/2021, 004/2021, 005/2021 E 018/2021.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23</w:t>
      </w:r>
      <w:r>
        <w:rPr>
          <w:rFonts w:eastAsia="Times New Roman"/>
          <w:b/>
          <w:sz w:val="24"/>
          <w:szCs w:val="24"/>
        </w:rPr>
        <w:t>/06/2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64/2021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23</w:t>
      </w:r>
      <w:r>
        <w:rPr>
          <w:rFonts w:eastAsia="Times New Roman"/>
          <w:b/>
          <w:sz w:val="24"/>
          <w:szCs w:val="24"/>
          <w:u w:val="single"/>
        </w:rPr>
        <w:t>/06/2</w:t>
      </w:r>
      <w:r>
        <w:rPr>
          <w:rFonts w:hint="default" w:eastAsia="Times New Roman"/>
          <w:b/>
          <w:sz w:val="24"/>
          <w:szCs w:val="24"/>
          <w:u w:val="single"/>
          <w:lang w:val="pt-BR"/>
        </w:rPr>
        <w:t>02</w:t>
      </w:r>
      <w:r>
        <w:rPr>
          <w:rFonts w:eastAsia="Times New Roman"/>
          <w:b/>
          <w:sz w:val="24"/>
          <w:szCs w:val="24"/>
          <w:u w:val="single"/>
        </w:rPr>
        <w:t xml:space="preserve">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64/2021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23</w:t>
      </w:r>
      <w:r>
        <w:rPr>
          <w:rFonts w:eastAsia="Times New Roman"/>
          <w:b/>
          <w:sz w:val="24"/>
          <w:szCs w:val="24"/>
          <w:u w:val="single"/>
        </w:rPr>
        <w:t>/06/2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w:t>
      </w:r>
      <w:r>
        <w:rPr>
          <w:rFonts w:hint="default" w:eastAsia="Times New Roman"/>
          <w:b/>
          <w:bCs/>
          <w:sz w:val="24"/>
          <w:szCs w:val="24"/>
          <w:lang w:val="pt-BR"/>
        </w:rPr>
        <w:t>1</w:t>
      </w:r>
      <w:r>
        <w:rPr>
          <w:rFonts w:eastAsia="Times New Roman"/>
          <w:b/>
          <w:bCs/>
          <w:sz w:val="24"/>
          <w:szCs w:val="24"/>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w:t>
      </w:r>
      <w:r>
        <w:rPr>
          <w:rFonts w:hint="default" w:eastAsia="Times New Roman"/>
          <w:b/>
          <w:iCs/>
          <w:sz w:val="24"/>
          <w:szCs w:val="24"/>
          <w:lang w:val="pt-BR"/>
        </w:rPr>
        <w:t>1</w:t>
      </w:r>
      <w:r>
        <w:rPr>
          <w:rFonts w:eastAsia="Times New Roman"/>
          <w:b/>
          <w:iCs/>
          <w:sz w:val="24"/>
          <w:szCs w:val="24"/>
        </w:rPr>
        <w:t>.1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R$ 312.617,</w:t>
      </w:r>
      <w:r>
        <w:rPr>
          <w:rFonts w:hint="default" w:eastAsia="Times New Roman"/>
          <w:b/>
          <w:bCs/>
          <w:iCs/>
          <w:sz w:val="24"/>
          <w:szCs w:val="24"/>
          <w:lang w:val="pt-BR"/>
        </w:rPr>
        <w:t>86</w:t>
      </w:r>
      <w:r>
        <w:rPr>
          <w:rFonts w:eastAsia="Times New Roman"/>
          <w:b/>
          <w:bCs/>
          <w:iCs/>
          <w:sz w:val="24"/>
          <w:szCs w:val="24"/>
        </w:rPr>
        <w:t xml:space="preserve"> (trezentos e doze mil seiscentos e dezessete reais e oitenta e seis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hint="default"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hint="default"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sz w:val="24"/>
          <w:szCs w:val="24"/>
          <w:u w:val="single"/>
        </w:rPr>
      </w:pPr>
      <w:r>
        <w:rPr>
          <w:rFonts w:eastAsia="Times New Roman"/>
          <w:b/>
          <w:sz w:val="24"/>
          <w:szCs w:val="24"/>
        </w:rPr>
        <w:t>8.2.</w:t>
      </w:r>
      <w:r>
        <w:rPr>
          <w:rFonts w:hint="default" w:eastAsia="Times New Roman"/>
          <w:b/>
          <w:sz w:val="24"/>
          <w:szCs w:val="24"/>
          <w:lang w:val="pt-BR"/>
        </w:rPr>
        <w:t>8</w:t>
      </w:r>
      <w:r>
        <w:rPr>
          <w:rFonts w:eastAsia="Times New Roman"/>
          <w:sz w:val="24"/>
          <w:szCs w:val="24"/>
        </w:rPr>
        <w:t xml:space="preserve"> </w:t>
      </w:r>
      <w:r>
        <w:rPr>
          <w:rFonts w:eastAsia="Times New Roman"/>
          <w:b/>
          <w:sz w:val="24"/>
          <w:szCs w:val="24"/>
          <w:u w:val="single"/>
        </w:rPr>
        <w:t>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b/>
          <w:sz w:val="24"/>
          <w:szCs w:val="24"/>
          <w:u w:val="single"/>
        </w:rPr>
      </w:pPr>
    </w:p>
    <w:p>
      <w:pPr>
        <w:overflowPunct w:val="0"/>
        <w:autoSpaceDE w:val="0"/>
        <w:autoSpaceDN w:val="0"/>
        <w:adjustRightInd w:val="0"/>
        <w:spacing w:after="0" w:line="240" w:lineRule="auto"/>
        <w:ind w:right="45"/>
        <w:jc w:val="both"/>
        <w:textAlignment w:val="baseline"/>
        <w:rPr>
          <w:rFonts w:eastAsia="Times New Roman"/>
          <w:b/>
          <w:bCs/>
          <w:sz w:val="24"/>
          <w:szCs w:val="24"/>
          <w:u w:val="single"/>
        </w:rPr>
      </w:pPr>
      <w:r>
        <w:rPr>
          <w:rFonts w:hint="default" w:eastAsia="Times New Roman"/>
          <w:b/>
          <w:bCs/>
          <w:sz w:val="24"/>
          <w:szCs w:val="24"/>
          <w:u w:val="none"/>
          <w:lang w:val="pt-BR"/>
        </w:rPr>
        <w:t xml:space="preserve">8.2.9 </w:t>
      </w:r>
      <w:r>
        <w:rPr>
          <w:rFonts w:eastAsia="Times New Roman"/>
          <w:b/>
          <w:bCs/>
          <w:sz w:val="24"/>
          <w:szCs w:val="24"/>
          <w:u w:val="single"/>
        </w:rPr>
        <w:t>Certificado de Autorização de Posto Revendedor de GLP dentro da sua validade, nos termos da Portaria ANP nº 297, de 13 de novembro de 2003.</w:t>
      </w:r>
    </w:p>
    <w:p>
      <w:pPr>
        <w:overflowPunct w:val="0"/>
        <w:autoSpaceDE w:val="0"/>
        <w:autoSpaceDN w:val="0"/>
        <w:adjustRightInd w:val="0"/>
        <w:spacing w:after="0" w:line="240" w:lineRule="auto"/>
        <w:ind w:right="45"/>
        <w:jc w:val="both"/>
        <w:textAlignment w:val="baseline"/>
        <w:rPr>
          <w:rFonts w:eastAsia="Times New Roman"/>
          <w:b/>
          <w:bCs/>
          <w:sz w:val="24"/>
          <w:szCs w:val="24"/>
          <w:u w:val="single"/>
        </w:rPr>
      </w:pPr>
    </w:p>
    <w:p>
      <w:pPr>
        <w:overflowPunct w:val="0"/>
        <w:autoSpaceDE w:val="0"/>
        <w:autoSpaceDN w:val="0"/>
        <w:adjustRightInd w:val="0"/>
        <w:spacing w:after="0" w:line="240" w:lineRule="auto"/>
        <w:ind w:right="45"/>
        <w:jc w:val="both"/>
        <w:textAlignment w:val="baseline"/>
        <w:rPr>
          <w:rFonts w:eastAsia="Times New Roman"/>
          <w:b/>
          <w:bCs/>
          <w:sz w:val="24"/>
          <w:szCs w:val="24"/>
          <w:u w:val="single"/>
        </w:rPr>
      </w:pPr>
      <w:r>
        <w:rPr>
          <w:rFonts w:hint="default" w:eastAsia="Times New Roman"/>
          <w:b/>
          <w:bCs/>
          <w:sz w:val="24"/>
          <w:szCs w:val="24"/>
          <w:u w:val="none"/>
          <w:lang w:val="pt-BR"/>
        </w:rPr>
        <w:t xml:space="preserve">8.2.10 </w:t>
      </w:r>
      <w:r>
        <w:rPr>
          <w:rFonts w:eastAsia="Times New Roman"/>
          <w:b/>
          <w:bCs/>
          <w:sz w:val="24"/>
          <w:szCs w:val="24"/>
          <w:u w:val="single"/>
        </w:rPr>
        <w:t>Certificado de Vistoria emitido pelo Corpo de Bombeiros do Município sede do licitante, dentro do prazo de validade.</w:t>
      </w:r>
    </w:p>
    <w:p>
      <w:pPr>
        <w:overflowPunct w:val="0"/>
        <w:autoSpaceDE w:val="0"/>
        <w:autoSpaceDN w:val="0"/>
        <w:adjustRightInd w:val="0"/>
        <w:spacing w:after="0" w:line="240" w:lineRule="auto"/>
        <w:ind w:right="45"/>
        <w:jc w:val="both"/>
        <w:textAlignment w:val="baseline"/>
        <w:rPr>
          <w:rFonts w:eastAsia="Times New Roman"/>
          <w:b/>
          <w:bCs/>
          <w:sz w:val="24"/>
          <w:szCs w:val="24"/>
          <w:u w:val="single"/>
        </w:rPr>
      </w:pPr>
    </w:p>
    <w:p>
      <w:pPr>
        <w:overflowPunct w:val="0"/>
        <w:autoSpaceDE w:val="0"/>
        <w:autoSpaceDN w:val="0"/>
        <w:adjustRightInd w:val="0"/>
        <w:spacing w:after="0" w:line="240" w:lineRule="auto"/>
        <w:ind w:right="-142"/>
        <w:jc w:val="both"/>
        <w:textAlignment w:val="baseline"/>
        <w:rPr>
          <w:rFonts w:eastAsia="Times New Roman"/>
          <w:b/>
          <w:sz w:val="24"/>
          <w:szCs w:val="24"/>
          <w:u w:val="single"/>
        </w:rPr>
      </w:pPr>
      <w:r>
        <w:rPr>
          <w:rFonts w:hint="default" w:eastAsia="Times New Roman"/>
          <w:b/>
          <w:bCs/>
          <w:sz w:val="24"/>
          <w:szCs w:val="24"/>
          <w:u w:val="none"/>
          <w:lang w:val="pt-BR"/>
        </w:rPr>
        <w:t xml:space="preserve">8.2.11 </w:t>
      </w:r>
      <w:r>
        <w:rPr>
          <w:rFonts w:eastAsia="Times New Roman"/>
          <w:b/>
          <w:bCs/>
          <w:sz w:val="24"/>
          <w:szCs w:val="24"/>
          <w:u w:val="single"/>
        </w:rPr>
        <w:t>Licença de Operação (Ambiental), dentro do prazo de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12</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13</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4</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deverá ser entregue em local indicado na Ordem de Fornecimento. O prazo de entrega será de IMEDIATO a partir do recebimento da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hint="default" w:eastAsia="Times New Roman"/>
          <w:iCs/>
          <w:sz w:val="24"/>
          <w:szCs w:val="24"/>
          <w:lang w:val="en-US" w:eastAsia="pt-BR"/>
        </w:rPr>
        <w:t xml:space="preserve">IPCA </w:t>
      </w:r>
      <w:r>
        <w:rPr>
          <w:rFonts w:ascii="Palatino" w:hAnsi="Palatino"/>
          <w:i w:val="0"/>
          <w:iCs w:val="0"/>
          <w:sz w:val="22"/>
          <w:szCs w:val="22"/>
        </w:rPr>
        <w:t>(Índice acumulado nos últimos doze meses)</w:t>
      </w:r>
      <w:r>
        <w:rPr>
          <w:rFonts w:hint="default" w:ascii="Palatino" w:hAnsi="Palatino"/>
          <w:i w:val="0"/>
          <w:iCs w:val="0"/>
          <w:sz w:val="22"/>
          <w:szCs w:val="22"/>
          <w:lang w:val="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Pr>
          <w:rFonts w:eastAsia="Times New Roman"/>
          <w:b/>
          <w:color w:val="FF0000"/>
          <w:sz w:val="24"/>
          <w:szCs w:val="24"/>
        </w:rPr>
        <w:t>não serão recebidas solicitações via e-mail ou fax símile</w:t>
      </w:r>
      <w:r>
        <w:rPr>
          <w:rFonts w:eastAsia="Times New Roman"/>
          <w:sz w:val="24"/>
          <w:szCs w:val="24"/>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sz w:val="24"/>
          <w:szCs w:val="24"/>
          <w:lang w:val="pt-BR"/>
        </w:rPr>
        <w:t>01 de junho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AQUISIÇÃO FUTURA DE CARGA E BOTIJÃO DE GÁS, CONFORME TERMO DE REFERÊNCIA, PARA ATENDER AS GERÊNCIAS DO MUNICÍPIO DE NAVIRAÍ/MS. PEDIDOS DE COMPRA Nº 003/2021, 016/2021, 020/2021, 008/2021, 025/2021, 049/2021, 015/2021, 004/2021, 005/2021 E 018/2021.</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1.196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CARGA DE GÁS P13 - BOTIJÃO EM BOA CONSERVAÇÃO, BEM FECHADO E INTACTO.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BOTIJÃO DE GÁS P13 COM CARGA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CARGA DE GÁS PH 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BOTIJÃO DE GÁS P-13 COM MANGUEIRA.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BOTIJÃO DE GÁS, P 45, COM CARGA.</w:t>
            </w:r>
          </w:p>
        </w:tc>
      </w:tr>
    </w:tbl>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ind w:right="45"/>
        <w:jc w:val="both"/>
        <w:textAlignment w:val="baseline"/>
        <w:rPr>
          <w:rFonts w:eastAsia="Times New Roman"/>
          <w:b/>
          <w:bCs/>
          <w:sz w:val="24"/>
          <w:szCs w:val="24"/>
        </w:rPr>
      </w:pPr>
      <w:r>
        <w:rPr>
          <w:rFonts w:eastAsia="Times New Roman"/>
          <w:b/>
          <w:bCs/>
          <w:sz w:val="24"/>
          <w:szCs w:val="24"/>
        </w:rPr>
        <w:t xml:space="preserve">3 PRAZO PARA A ENTREGA DOS MATERIAIS: </w:t>
      </w:r>
      <w:r>
        <w:rPr>
          <w:rFonts w:eastAsia="Times New Roman"/>
          <w:bCs/>
          <w:sz w:val="24"/>
          <w:szCs w:val="24"/>
        </w:rPr>
        <w:t>Imediato, a contar do recebimento da Ordem de Fornecimento.</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hint="default" w:eastAsia="Times New Roman"/>
          <w:b/>
          <w:bCs/>
          <w:sz w:val="24"/>
          <w:szCs w:val="24"/>
          <w:lang w:val="pt-BR"/>
        </w:rPr>
      </w:pPr>
      <w:r>
        <w:rPr>
          <w:rFonts w:eastAsia="Times New Roman"/>
          <w:b/>
          <w:bCs/>
          <w:sz w:val="24"/>
          <w:szCs w:val="24"/>
        </w:rPr>
        <w:t xml:space="preserve">4 PRAZO PARA SUBSTITUIÇÃO: </w:t>
      </w:r>
      <w:r>
        <w:rPr>
          <w:rFonts w:hint="default" w:eastAsia="Times New Roman"/>
          <w:b w:val="0"/>
          <w:bCs w:val="0"/>
          <w:sz w:val="24"/>
          <w:szCs w:val="24"/>
          <w:lang w:val="pt-BR"/>
        </w:rPr>
        <w:t>Imediato, a contar do recebimento da solicitação.</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r>
        <w:drawing>
          <wp:inline distT="0" distB="0" distL="114300" distR="114300">
            <wp:extent cx="5952490" cy="8417560"/>
            <wp:effectExtent l="0" t="0" r="10160" b="254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952490" cy="8417560"/>
            <wp:effectExtent l="0" t="0" r="10160" b="254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pgSz w:w="11907" w:h="16840"/>
          <w:pgMar w:top="1536" w:right="709" w:bottom="709" w:left="1797" w:header="284" w:footer="459" w:gutter="0"/>
          <w:cols w:space="0" w:num="1"/>
          <w:rtlGutter w:val="0"/>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64/2021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1.196,0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CARGA DE GÁS P13 - BOTIJÃO EM BOA CONSERVAÇÃO, BEM FECHADO E INTACTO.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BOTIJÃO DE GÁS P13 COM CARGA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CARGA DE GÁS PH 45</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BOTIJÃO DE GÁS P-13 COM MANGUEIRA.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BOTIJÃO DE GÁS, P 45, COM CARGA.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64/2021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sectPr>
          <w:pgSz w:w="16840" w:h="11907" w:orient="landscape"/>
          <w:pgMar w:top="1797" w:right="1536" w:bottom="709" w:left="709" w:header="284" w:footer="459" w:gutter="0"/>
          <w:cols w:space="0" w:num="1"/>
          <w:rtlGutter w:val="0"/>
          <w:docGrid w:linePitch="272" w:charSpace="0"/>
        </w:sect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112/2021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64/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iCs/>
          <w:sz w:val="24"/>
          <w:szCs w:val="24"/>
        </w:rPr>
        <w:t xml:space="preserve">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brasileira, portadora do CPF/MF nº 0023.163.081-63 e Cédula de Identidade RG nº 1.591.515 SSP/MS, residente e domiciliada nesta cidade, a Rua Enoque Antônio de Aquino, nº 493 – “A” – Centro</w:t>
      </w:r>
      <w:r>
        <w:rPr>
          <w:rFonts w:hint="default" w:eastAsia="Times New Roman"/>
          <w:sz w:val="24"/>
          <w:szCs w:val="24"/>
          <w:lang w:val="pt-BR"/>
        </w:rPr>
        <w:t>.</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64/2021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AQUISIÇÃO FUTURA DE CARGA E BOTIJÃO DE GÁS, CONFORME TERMO DE REFERÊNCIA, PARA ATENDER AS GERÊNCIAS DO MUNICÍPIO DE NAVIRAÍ/MS. PEDIDOS DE COMPRA Nº 003/2021, 016/2021, 020/2021, 008/2021, 025/2021, 049/2021, 015/2021, 004/2021, 005/2021 E 018/2021.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64/2021</w:t>
      </w:r>
      <w:r>
        <w:rPr>
          <w:rFonts w:eastAsia="Times New Roman"/>
          <w:sz w:val="24"/>
          <w:szCs w:val="24"/>
          <w:lang w:eastAsia="pt-BR"/>
        </w:rPr>
        <w:t xml:space="preserve">, Processo n° </w:t>
      </w:r>
      <w:r>
        <w:rPr>
          <w:rFonts w:eastAsia="Times New Roman"/>
          <w:b/>
          <w:sz w:val="24"/>
          <w:szCs w:val="24"/>
          <w:lang w:eastAsia="pt-BR"/>
        </w:rPr>
        <w:t>112/2021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right="45"/>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–Os itens licitados serão solicitados conforme a necessidade da Gerência, e deverá ser entregue em local indicado na Ordem de Fornecimento. O prazo de entrega será de IMEDIATO a partir do recebimento da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I</w:t>
      </w:r>
      <w:r>
        <w:rPr>
          <w:rFonts w:hint="default" w:eastAsia="Times New Roman"/>
          <w:iCs/>
          <w:sz w:val="24"/>
          <w:szCs w:val="24"/>
          <w:lang w:val="pt-BR"/>
        </w:rPr>
        <w:t>PCA (Índice acumulado dos últimos doze meses),</w:t>
      </w:r>
      <w:r>
        <w:rPr>
          <w:rFonts w:eastAsia="Times New Roman"/>
          <w:sz w:val="24"/>
          <w:szCs w:val="24"/>
          <w:lang w:eastAsia="pt-BR"/>
        </w:rPr>
        <w:t xml:space="preserve">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Conforme Decreto nº 008/2021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rFonts w:eastAsia="MS Mincho"/>
          <w:b/>
          <w:iCs/>
          <w:sz w:val="22"/>
        </w:rPr>
      </w:pPr>
    </w:p>
    <w:p>
      <w:pPr>
        <w:widowControl w:val="0"/>
        <w:tabs>
          <w:tab w:val="left" w:pos="5562"/>
        </w:tabs>
        <w:spacing w:after="0"/>
        <w:ind w:right="33" w:firstLine="663" w:firstLineChars="300"/>
        <w:textAlignment w:val="baseline"/>
        <w:rPr>
          <w:b/>
          <w:iCs/>
          <w:sz w:val="22"/>
        </w:rPr>
      </w:pPr>
      <w:r>
        <w:rPr>
          <w:rFonts w:eastAsia="MS Mincho"/>
          <w:b/>
          <w:iCs/>
          <w:sz w:val="22"/>
        </w:rPr>
        <w:t xml:space="preserve"> PRISCILLA DE OLIVEIRA DA SILVA                        </w:t>
      </w:r>
      <w:r>
        <w:rPr>
          <w:rFonts w:hint="default" w:eastAsia="MS Mincho"/>
          <w:b/>
          <w:iCs/>
          <w:sz w:val="22"/>
          <w:lang w:val="pt-BR"/>
        </w:rPr>
        <w:t xml:space="preserve">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textAlignment w:val="baseline"/>
        <w:rPr>
          <w:rFonts w:eastAsia="Times New Roman"/>
          <w:sz w:val="24"/>
          <w:szCs w:val="24"/>
          <w:lang w:eastAsia="pt-BR"/>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MS Mincho"/>
          <w:b/>
          <w:iCs/>
          <w:sz w:val="22"/>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64/2021</w:t>
      </w:r>
      <w:r>
        <w:rPr>
          <w:rFonts w:eastAsia="Times New Roman"/>
          <w:sz w:val="24"/>
          <w:szCs w:val="24"/>
          <w:lang w:eastAsia="pt-BR"/>
        </w:rPr>
        <w:t xml:space="preserve"> – Processo nº. </w:t>
      </w:r>
      <w:r>
        <w:rPr>
          <w:rFonts w:eastAsia="Times New Roman"/>
          <w:b/>
          <w:sz w:val="24"/>
          <w:szCs w:val="24"/>
          <w:lang w:eastAsia="pt-BR"/>
        </w:rPr>
        <w:t>112/2021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firstLine="663" w:firstLineChars="300"/>
        <w:textAlignment w:val="baseline"/>
        <w:rPr>
          <w:b/>
          <w:iCs/>
          <w:sz w:val="22"/>
        </w:rPr>
      </w:pPr>
      <w:r>
        <w:rPr>
          <w:rFonts w:eastAsia="MS Mincho"/>
          <w:b/>
          <w:iCs/>
          <w:sz w:val="22"/>
        </w:rPr>
        <w:t xml:space="preserve"> PRISCILLA DE OLIVEIRA DA SILVA                        </w:t>
      </w:r>
      <w:r>
        <w:rPr>
          <w:rFonts w:hint="default" w:eastAsia="MS Mincho"/>
          <w:b/>
          <w:iCs/>
          <w:sz w:val="22"/>
          <w:lang w:val="pt-BR"/>
        </w:rPr>
        <w:t xml:space="preserve">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textAlignment w:val="baseline"/>
        <w:rPr>
          <w:rFonts w:eastAsia="Times New Roman"/>
          <w:sz w:val="24"/>
          <w:szCs w:val="24"/>
          <w:lang w:eastAsia="pt-BR"/>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MS Mincho"/>
          <w:b/>
          <w:iCs/>
          <w:sz w:val="22"/>
        </w:rPr>
        <w:t xml:space="preserve">                          </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64/2021 </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hint="default" w:eastAsia="Times New Roman"/>
          <w:b/>
          <w:iCs/>
          <w:sz w:val="24"/>
          <w:szCs w:val="24"/>
          <w:lang w:val="pt-BR"/>
        </w:rPr>
      </w:pPr>
      <w:r>
        <w:rPr>
          <w:rFonts w:eastAsia="Times New Roman"/>
          <w:b/>
          <w:iCs/>
          <w:sz w:val="24"/>
          <w:szCs w:val="24"/>
        </w:rPr>
        <w:t>MINUTA DO CONTRATO Nº. ____/</w:t>
      </w:r>
      <w:r>
        <w:rPr>
          <w:rFonts w:hint="default" w:eastAsia="Times New Roman"/>
          <w:b/>
          <w:iCs/>
          <w:sz w:val="24"/>
          <w:szCs w:val="24"/>
          <w:lang w:val="pt-BR"/>
        </w:rPr>
        <w:t>______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brasileira, portadora do CPF/MF nº 0023.163.081-63 e Cédula de Identidade RG nº 1.591.515 SSP/MS, residente e domiciliada nesta cidade, a Rua Enoque Antônio de Aquino, nº 493 – “A” – Centro</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112/2021</w:t>
      </w:r>
      <w:r>
        <w:rPr>
          <w:rFonts w:eastAsia="Times New Roman"/>
          <w:iCs/>
          <w:sz w:val="24"/>
          <w:szCs w:val="24"/>
          <w:lang w:eastAsia="pt-BR"/>
        </w:rPr>
        <w:t xml:space="preserve">, gerado pelo </w:t>
      </w:r>
      <w:r>
        <w:rPr>
          <w:rFonts w:eastAsia="Times New Roman"/>
          <w:b/>
          <w:iCs/>
          <w:sz w:val="24"/>
          <w:szCs w:val="24"/>
          <w:lang w:eastAsia="pt-BR"/>
        </w:rPr>
        <w:t>Pregão Presencial nº. 64/2021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 xml:space="preserve"> AQUISIÇÃO DE CARGA E BOTIJÃO DE GÁS, CONFORME TERMO DE REFERÊNCIA, PARA ATENDER AS GERÊNCIAS DO MUNICÍPIO DE NAVIRAÍ/MS. PEDIDOS DE COMPRA Nº 003/2021, 016/2021, 020/2021, 008/2021, 025/2021, 049/2021, 015/2021, 004/2021, 005/2021 E 018/2021.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deverá ser entregue em local indicado na Ordem de Fornecimento. O prazo de entrega será de IMEDIATO a partir do recebimento da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b/>
          <w:bCs/>
          <w:sz w:val="24"/>
          <w:szCs w:val="24"/>
          <w:highlight w:val="none"/>
          <w:lang w:val="pt-BR"/>
        </w:rPr>
      </w:pPr>
      <w:r>
        <w:rPr>
          <w:rFonts w:hint="default" w:eastAsia="Times New Roman"/>
          <w:b/>
          <w:bCs/>
          <w:sz w:val="24"/>
          <w:szCs w:val="24"/>
          <w:highlight w:val="none"/>
          <w:lang w:val="pt-BR"/>
        </w:rPr>
        <w:t>3.5 - TERMO DE REFERÊNCIA</w:t>
      </w: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Times New Roman"/>
          <w:b/>
          <w:bCs/>
          <w:sz w:val="24"/>
          <w:szCs w:val="24"/>
          <w:lang w:eastAsia="pt-BR"/>
        </w:rPr>
      </w:pPr>
      <w:r>
        <w:drawing>
          <wp:inline distT="0" distB="0" distL="114300" distR="114300">
            <wp:extent cx="5506085" cy="7787005"/>
            <wp:effectExtent l="0" t="0" r="18415" b="4445"/>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1"/>
                    <pic:cNvPicPr>
                      <a:picLocks noChangeAspect="1"/>
                    </pic:cNvPicPr>
                  </pic:nvPicPr>
                  <pic:blipFill>
                    <a:blip r:embed="rId8"/>
                    <a:stretch>
                      <a:fillRect/>
                    </a:stretch>
                  </pic:blipFill>
                  <pic:spPr>
                    <a:xfrm>
                      <a:off x="0" y="0"/>
                      <a:ext cx="5506085" cy="7787005"/>
                    </a:xfrm>
                    <a:prstGeom prst="rect">
                      <a:avLst/>
                    </a:prstGeom>
                    <a:noFill/>
                    <a:ln>
                      <a:noFill/>
                    </a:ln>
                  </pic:spPr>
                </pic:pic>
              </a:graphicData>
            </a:graphic>
          </wp:inline>
        </w:drawing>
      </w:r>
      <w:r>
        <w:drawing>
          <wp:inline distT="0" distB="0" distL="114300" distR="114300">
            <wp:extent cx="5952490" cy="8417560"/>
            <wp:effectExtent l="0" t="0" r="10160" b="2540"/>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r>
        <w:drawing>
          <wp:inline distT="0" distB="0" distL="114300" distR="114300">
            <wp:extent cx="5952490" cy="8417560"/>
            <wp:effectExtent l="0" t="0" r="10160" b="254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rFonts w:eastAsia="Times New Roman"/>
          <w:b/>
          <w:bCs/>
          <w:iCs/>
          <w:sz w:val="24"/>
          <w:szCs w:val="24"/>
          <w:u w:val="single"/>
        </w:rPr>
        <w:t>exceto</w:t>
      </w:r>
      <w:r>
        <w:rPr>
          <w:rFonts w:eastAsia="Times New Roman"/>
          <w:iCs/>
          <w:sz w:val="24"/>
          <w:szCs w:val="24"/>
        </w:rPr>
        <w:t xml:space="preserve"> se por algum motivo devidamente justificado, os produtos sofrerem alterações por fatos supervenientes alheio a vontade do contratado, poderá ser reajustada/reequilibrado de acordo  com o artigo 40, inciso XI,   art. 55, inc. III, bem como o art. 65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PRISCILLA DE OLIVEIRA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hint="default" w:eastAsia="Times New Roman"/>
          <w:b/>
          <w:bCs/>
          <w:sz w:val="24"/>
          <w:szCs w:val="24"/>
          <w:lang w:val="pt-BR"/>
        </w:rPr>
        <w:t>064/2021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064/2021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sectPr>
      <w:pgSz w:w="11907" w:h="16840"/>
      <w:pgMar w:top="1536" w:right="709"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8C"/>
    <w:rsid w:val="001E1F8C"/>
    <w:rsid w:val="005A691A"/>
    <w:rsid w:val="00684941"/>
    <w:rsid w:val="145C1ECB"/>
    <w:rsid w:val="15F25279"/>
    <w:rsid w:val="2CFA471C"/>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46</Pages>
  <Words>16809</Words>
  <Characters>90769</Characters>
  <Lines>756</Lines>
  <Paragraphs>214</Paragraphs>
  <TotalTime>13</TotalTime>
  <ScaleCrop>false</ScaleCrop>
  <LinksUpToDate>false</LinksUpToDate>
  <CharactersWithSpaces>107364</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2021-06-01T12:49:00Z</dcterms:created>
  <dc:creator>JAQUELINE MARIA GARCIA MASCIOLLI</dc:creator>
  <cp:lastModifiedBy>Usuario</cp:lastModifiedBy>
  <cp:lastPrinted>2021-06-15T14:40:34Z</cp:lastPrinted>
  <dcterms:modified xsi:type="dcterms:W3CDTF">2021-06-15T14:45:05Z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