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160/2021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87/2021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eastAsia="Times New Roman"/>
          <w:sz w:val="24"/>
          <w:szCs w:val="24"/>
          <w:lang w:val="en-US" w:eastAsia="pt-BR"/>
        </w:rPr>
        <w:t>110 de 19 de fevereiro de 2021, 142 de 26 de fevereiro de 2021 e 324 de 01 de junho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highlight w:val="none"/>
          <w:lang w:eastAsia="pt-BR"/>
        </w:rPr>
        <w:t>14</w:t>
      </w:r>
      <w:r>
        <w:rPr>
          <w:rFonts w:hint="default" w:eastAsia="Times New Roman"/>
          <w:b/>
          <w:bCs/>
          <w:snapToGrid w:val="0"/>
          <w:sz w:val="24"/>
          <w:szCs w:val="24"/>
          <w:highlight w:val="none"/>
          <w:lang w:val="en-US" w:eastAsia="pt-BR"/>
        </w:rPr>
        <w:t>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28</w:t>
      </w:r>
      <w:r>
        <w:rPr>
          <w:rFonts w:hint="default" w:eastAsia="Times New Roman"/>
          <w:b/>
          <w:bCs/>
          <w:snapToGrid w:val="0"/>
          <w:sz w:val="24"/>
          <w:szCs w:val="24"/>
          <w:highlight w:val="none"/>
          <w:lang w:val="en-US" w:eastAsia="pt-BR"/>
        </w:rPr>
        <w:t xml:space="preserve"> de julho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PREÇOS OBJETIVANDO A CONTRATAÇÃO FUTURA DE EMPRESA ESPECIALIZADA EM LOCAÇÃO DE SANITÁRIOS QUÍMICOS CONFORME TERMO DE REFERÊNCIA, PARA ATENDER A DEMANDA DA GERÊNCIA DE SAÚDE E GERÊNCIA DE EDUCAÇÃO E CULTURA DO MUNICÍPIO DE NAVIRAÍ-MS. PEDIDOS DE SERVIÇO Nº 171/2021 E 183/2021.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28/07/2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14</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87/2021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28/07/2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14</w:t>
      </w:r>
      <w:r>
        <w:rPr>
          <w:rFonts w:hint="default" w:eastAsia="Times New Roman"/>
          <w:b/>
          <w:sz w:val="24"/>
          <w:szCs w:val="24"/>
          <w:lang w:val="en-US" w:eastAsia="pt-BR"/>
        </w:rPr>
        <w:t>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87/2021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28/07/2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14</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0"/>
        </w:numPr>
        <w:overflowPunct w:val="0"/>
        <w:autoSpaceDE w:val="0"/>
        <w:autoSpaceDN w:val="0"/>
        <w:adjustRightInd w:val="0"/>
        <w:spacing w:after="0" w:line="240" w:lineRule="auto"/>
        <w:ind w:leftChars="0"/>
        <w:jc w:val="both"/>
        <w:textAlignment w:val="baseline"/>
        <w:rPr>
          <w:rFonts w:eastAsia="Times New Roman"/>
          <w:sz w:val="22"/>
          <w:szCs w:val="22"/>
        </w:rPr>
      </w:pPr>
      <w:r>
        <w:rPr>
          <w:rFonts w:hint="default" w:eastAsia="Times New Roman"/>
          <w:b/>
          <w:bCs/>
          <w:sz w:val="22"/>
          <w:szCs w:val="22"/>
          <w:highlight w:val="lightGray"/>
          <w:u w:val="single"/>
          <w:lang w:val="en-US" w:eastAsia="pt-BR"/>
        </w:rPr>
        <w:t xml:space="preserve">7.12 </w:t>
      </w:r>
      <w:r>
        <w:rPr>
          <w:rFonts w:eastAsia="Times New Roman"/>
          <w:sz w:val="22"/>
          <w:szCs w:val="22"/>
          <w:highlight w:val="lightGray"/>
          <w:u w:val="single"/>
          <w:lang w:eastAsia="pt-BR"/>
        </w:rPr>
        <w:t>Ao final da etapa de lances a licitante vencedora deverá fazer a adequação dos preços unitários de cada item para que o somatório seja igual ao preço final adjudicado.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w:t>
      </w:r>
      <w:r>
        <w:rPr>
          <w:rFonts w:hint="default" w:eastAsia="Times New Roman"/>
          <w:b/>
          <w:bCs/>
          <w:sz w:val="24"/>
          <w:szCs w:val="24"/>
          <w:lang w:val="pt-BR"/>
        </w:rPr>
        <w:t>3</w:t>
      </w:r>
      <w:r>
        <w:rPr>
          <w:rFonts w:eastAsia="Times New Roman"/>
          <w:b/>
          <w:bCs/>
          <w:sz w:val="24"/>
          <w:szCs w:val="24"/>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w:t>
      </w:r>
      <w:r>
        <w:rPr>
          <w:rFonts w:hint="default" w:eastAsia="Times New Roman"/>
          <w:b/>
          <w:iCs/>
          <w:sz w:val="24"/>
          <w:szCs w:val="24"/>
          <w:lang w:val="pt-BR"/>
        </w:rPr>
        <w:t>3</w:t>
      </w:r>
      <w:r>
        <w:rPr>
          <w:rFonts w:eastAsia="Times New Roman"/>
          <w:b/>
          <w:iCs/>
          <w:sz w:val="24"/>
          <w:szCs w:val="24"/>
        </w:rPr>
        <w:t>.1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R$ 463.758,4</w:t>
      </w:r>
      <w:r>
        <w:rPr>
          <w:rFonts w:hint="default" w:eastAsia="Times New Roman"/>
          <w:b/>
          <w:bCs/>
          <w:iCs/>
          <w:sz w:val="24"/>
          <w:szCs w:val="24"/>
          <w:lang w:val="pt-BR"/>
        </w:rPr>
        <w:t>0</w:t>
      </w:r>
      <w:r>
        <w:rPr>
          <w:rFonts w:eastAsia="Times New Roman"/>
          <w:b/>
          <w:bCs/>
          <w:iCs/>
          <w:sz w:val="24"/>
          <w:szCs w:val="24"/>
        </w:rPr>
        <w:t xml:space="preserve"> (quatrocentos e sessenta e três mil setecentos e cinquenta e oito reais e quarenta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7.1</w:t>
      </w:r>
      <w:r>
        <w:rPr>
          <w:rFonts w:hint="default" w:eastAsia="Times New Roman"/>
          <w:iCs/>
          <w:sz w:val="24"/>
          <w:szCs w:val="24"/>
          <w:lang w:val="en-US" w:eastAsia="pt-BR"/>
        </w:rPr>
        <w:t>3</w:t>
      </w:r>
      <w:r>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07h: 00min às </w:t>
      </w:r>
      <w:r>
        <w:rPr>
          <w:rFonts w:hint="default" w:eastAsia="Times New Roman"/>
          <w:sz w:val="24"/>
          <w:szCs w:val="24"/>
          <w:lang w:val="en-US" w:eastAsia="pt-BR"/>
        </w:rPr>
        <w:t xml:space="preserve">11h:00 das </w:t>
      </w:r>
      <w:r>
        <w:rPr>
          <w:rFonts w:eastAsia="Times New Roman"/>
          <w:sz w:val="24"/>
          <w:szCs w:val="24"/>
          <w:lang w:eastAsia="pt-BR"/>
        </w:rPr>
        <w:t>13h: 00min</w:t>
      </w:r>
      <w:r>
        <w:rPr>
          <w:rFonts w:hint="default" w:eastAsia="Times New Roman"/>
          <w:sz w:val="24"/>
          <w:szCs w:val="24"/>
          <w:lang w:val="en-US" w:eastAsia="pt-BR"/>
        </w:rPr>
        <w:t xml:space="preserve"> as 17:h 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7.1</w:t>
      </w:r>
      <w:r>
        <w:rPr>
          <w:rFonts w:hint="default" w:eastAsia="Times New Roman"/>
          <w:sz w:val="24"/>
          <w:szCs w:val="24"/>
          <w:lang w:val="en-US" w:eastAsia="pt-BR"/>
        </w:rPr>
        <w:t>3</w:t>
      </w:r>
      <w:r>
        <w:rPr>
          <w:rFonts w:eastAsia="Times New Roman"/>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jc w:val="both"/>
        <w:rPr>
          <w:rFonts w:eastAsia="Times New Roman"/>
          <w:sz w:val="22"/>
        </w:rPr>
      </w:pPr>
      <w:r>
        <w:rPr>
          <w:rFonts w:eastAsia="Times New Roman"/>
          <w:b/>
          <w:sz w:val="22"/>
        </w:rPr>
        <w:t xml:space="preserve">8.2.8 </w:t>
      </w:r>
      <w:r>
        <w:rPr>
          <w:rFonts w:eastAsia="Times New Roman"/>
          <w:sz w:val="22"/>
        </w:rPr>
        <w:t xml:space="preserve">Apresentar </w:t>
      </w:r>
      <w:r>
        <w:rPr>
          <w:rFonts w:hint="default" w:eastAsia="Times New Roman"/>
          <w:sz w:val="22"/>
          <w:lang w:val="pt-BR"/>
        </w:rPr>
        <w:t>A</w:t>
      </w:r>
      <w:r>
        <w:rPr>
          <w:rFonts w:eastAsia="Times New Roman"/>
          <w:sz w:val="22"/>
        </w:rPr>
        <w:t xml:space="preserve">lvará de </w:t>
      </w:r>
      <w:r>
        <w:rPr>
          <w:rFonts w:eastAsia="Times New Roman"/>
          <w:b/>
          <w:bCs/>
          <w:sz w:val="22"/>
        </w:rPr>
        <w:t>Licença para Funcionamento</w:t>
      </w:r>
      <w:r>
        <w:rPr>
          <w:rFonts w:eastAsia="Times New Roman"/>
          <w:sz w:val="22"/>
        </w:rPr>
        <w:t>, com objeto compatível com objeto licitado expedido pelo órgão competente do município da empresa licitante, observando sua validade.</w:t>
      </w:r>
    </w:p>
    <w:p>
      <w:pPr>
        <w:overflowPunct w:val="0"/>
        <w:autoSpaceDE w:val="0"/>
        <w:autoSpaceDN w:val="0"/>
        <w:adjustRightInd w:val="0"/>
        <w:spacing w:after="0" w:line="240" w:lineRule="auto"/>
        <w:ind w:right="-142"/>
        <w:jc w:val="both"/>
        <w:textAlignment w:val="baseline"/>
        <w:rPr>
          <w:rFonts w:eastAsia="Times New Roman"/>
          <w:sz w:val="22"/>
          <w:szCs w:val="20"/>
        </w:rPr>
      </w:pP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r>
        <w:rPr>
          <w:rFonts w:eastAsia="Times New Roman"/>
          <w:b/>
          <w:sz w:val="22"/>
        </w:rPr>
        <w:t>8.2.9</w:t>
      </w:r>
      <w:r>
        <w:rPr>
          <w:rFonts w:eastAsia="Times New Roman"/>
          <w:sz w:val="22"/>
        </w:rPr>
        <w:t xml:space="preserve"> </w:t>
      </w:r>
      <w:r>
        <w:rPr>
          <w:sz w:val="22"/>
        </w:rPr>
        <w:t xml:space="preserve"> </w:t>
      </w:r>
      <w:r>
        <w:rPr>
          <w:b/>
          <w:sz w:val="22"/>
          <w:u w:val="single"/>
        </w:rPr>
        <w:t>Declaração da empresa licitante assinado por quem de direito,</w:t>
      </w:r>
      <w:r>
        <w:rPr>
          <w:sz w:val="22"/>
        </w:rPr>
        <w:t xml:space="preserve"> que, para todas as ordens de serviço emitidas. Irá apresentar toda a documentação necessária para a execução do objeto licitado devidamente assinada por profissional capacitado e </w:t>
      </w:r>
      <w:r>
        <w:rPr>
          <w:sz w:val="22"/>
          <w:lang w:val="pt-BR"/>
        </w:rPr>
        <w:t>magistra</w:t>
      </w:r>
      <w:r>
        <w:rPr>
          <w:rFonts w:hint="default"/>
          <w:sz w:val="22"/>
          <w:lang w:val="pt-BR"/>
        </w:rPr>
        <w:t>da</w:t>
      </w:r>
      <w:r>
        <w:rPr>
          <w:sz w:val="22"/>
        </w:rPr>
        <w:t xml:space="preserve"> no Conselho competente.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10</w:t>
      </w:r>
      <w:r>
        <w:rPr>
          <w:rFonts w:eastAsia="Times New Roman"/>
          <w:sz w:val="24"/>
          <w:szCs w:val="24"/>
          <w:lang w:eastAsia="pt-BR"/>
        </w:rPr>
        <w:t xml:space="preserve"> </w:t>
      </w:r>
      <w:r>
        <w:rPr>
          <w:rFonts w:eastAsia="Times New Roman"/>
          <w:b/>
          <w:bCs/>
          <w:sz w:val="24"/>
          <w:szCs w:val="24"/>
          <w:lang w:eastAsia="pt-BR"/>
        </w:rPr>
        <w:t>Declaração assinada por quem de direito</w:t>
      </w:r>
      <w:r>
        <w:rPr>
          <w:rFonts w:eastAsia="Times New Roman"/>
          <w:sz w:val="24"/>
          <w:szCs w:val="24"/>
          <w:lang w:eastAsia="pt-BR"/>
        </w:rPr>
        <w:t xml:space="preserve">, que não emprega </w:t>
      </w:r>
      <w:r>
        <w:rPr>
          <w:rFonts w:eastAsia="Times New Roman"/>
          <w:b/>
          <w:bCs/>
          <w:sz w:val="24"/>
          <w:szCs w:val="24"/>
          <w:lang w:eastAsia="pt-BR"/>
        </w:rPr>
        <w:t>menores de 18 (dezoito) anos</w:t>
      </w:r>
      <w:r>
        <w:rPr>
          <w:rFonts w:eastAsia="Times New Roman"/>
          <w:sz w:val="24"/>
          <w:szCs w:val="24"/>
          <w:lang w:eastAsia="pt-BR"/>
        </w:rPr>
        <w:t xml:space="preserve">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11</w:t>
      </w:r>
      <w:r>
        <w:rPr>
          <w:rFonts w:eastAsia="Times New Roman"/>
          <w:sz w:val="24"/>
          <w:szCs w:val="24"/>
        </w:rPr>
        <w:t xml:space="preserve"> </w:t>
      </w:r>
      <w:r>
        <w:rPr>
          <w:rFonts w:eastAsia="Times New Roman"/>
          <w:b/>
          <w:bCs/>
          <w:sz w:val="24"/>
          <w:szCs w:val="24"/>
        </w:rPr>
        <w:t>Declaração da licitante</w:t>
      </w:r>
      <w:r>
        <w:rPr>
          <w:rFonts w:eastAsia="Times New Roman"/>
          <w:sz w:val="24"/>
          <w:szCs w:val="24"/>
        </w:rPr>
        <w:t xml:space="preserve">, comprometendo-se a informar a qualquer tempo, sob as penalidades cabíveis, a existência de </w:t>
      </w:r>
      <w:r>
        <w:rPr>
          <w:rFonts w:eastAsia="Times New Roman"/>
          <w:b/>
          <w:bCs/>
          <w:sz w:val="24"/>
          <w:szCs w:val="24"/>
        </w:rPr>
        <w:t>fatos supervenientes</w:t>
      </w:r>
      <w:r>
        <w:rPr>
          <w:rFonts w:eastAsia="Times New Roman"/>
          <w:sz w:val="24"/>
          <w:szCs w:val="24"/>
        </w:rPr>
        <w:t xml:space="preserve">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w:t>
      </w:r>
      <w:r>
        <w:rPr>
          <w:rFonts w:eastAsia="Times New Roman"/>
          <w:b/>
          <w:bCs/>
          <w:sz w:val="24"/>
          <w:szCs w:val="24"/>
        </w:rPr>
        <w:t xml:space="preserve">Declaração </w:t>
      </w:r>
      <w:r>
        <w:rPr>
          <w:rFonts w:eastAsia="Times New Roman"/>
          <w:sz w:val="24"/>
          <w:szCs w:val="24"/>
        </w:rPr>
        <w:t xml:space="preserve">conhecimento e aceitação do </w:t>
      </w:r>
      <w:r>
        <w:rPr>
          <w:rFonts w:eastAsia="Times New Roman"/>
          <w:b/>
          <w:bCs/>
          <w:sz w:val="24"/>
          <w:szCs w:val="24"/>
        </w:rPr>
        <w:t>teor do edital</w:t>
      </w:r>
      <w:r>
        <w:rPr>
          <w:rFonts w:eastAsia="Times New Roman"/>
          <w:sz w:val="24"/>
          <w:szCs w:val="24"/>
        </w:rPr>
        <w:t xml:space="preserve">,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 xml:space="preserve">no horário das 7h às </w:t>
      </w:r>
      <w:r>
        <w:rPr>
          <w:rFonts w:hint="default" w:eastAsia="Times New Roman"/>
          <w:sz w:val="24"/>
          <w:szCs w:val="24"/>
          <w:lang w:val="en-US" w:eastAsia="pt-BR"/>
        </w:rPr>
        <w:t xml:space="preserve">11h das </w:t>
      </w:r>
      <w:r>
        <w:rPr>
          <w:rFonts w:eastAsia="Times New Roman"/>
          <w:sz w:val="24"/>
          <w:szCs w:val="24"/>
          <w:lang w:eastAsia="pt-BR"/>
        </w:rPr>
        <w:t>13h</w:t>
      </w:r>
      <w:r>
        <w:rPr>
          <w:rFonts w:hint="default" w:eastAsia="Times New Roman"/>
          <w:sz w:val="24"/>
          <w:szCs w:val="24"/>
          <w:lang w:val="en-US" w:eastAsia="pt-BR"/>
        </w:rPr>
        <w:t xml:space="preserve"> às 17h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 xml:space="preserve">14 – </w:t>
      </w:r>
      <w:r>
        <w:rPr>
          <w:rFonts w:eastAsia="Times New Roman"/>
          <w:b/>
          <w:bCs/>
          <w:sz w:val="24"/>
          <w:szCs w:val="24"/>
          <w:lang w:val="zh-CN" w:eastAsia="zh-CN"/>
        </w:rPr>
        <w:t>D</w:t>
      </w:r>
      <w:r>
        <w:rPr>
          <w:rFonts w:eastAsia="Times New Roman"/>
          <w:b/>
          <w:bCs/>
          <w:sz w:val="24"/>
          <w:szCs w:val="24"/>
          <w:lang w:eastAsia="zh-CN"/>
        </w:rPr>
        <w:t>A</w:t>
      </w:r>
      <w:r>
        <w:rPr>
          <w:rFonts w:eastAsia="Times New Roman"/>
          <w:b/>
          <w:bCs/>
          <w:sz w:val="24"/>
          <w:szCs w:val="24"/>
          <w:lang w:val="zh-CN" w:eastAsia="zh-CN"/>
        </w:rPr>
        <w:t xml:space="preserve"> </w:t>
      </w:r>
      <w:r>
        <w:rPr>
          <w:rFonts w:eastAsia="Times New Roman"/>
          <w:b/>
          <w:bCs/>
          <w:sz w:val="24"/>
          <w:szCs w:val="24"/>
        </w:rPr>
        <w:t>PRESTAÇÃO DOS SERVIÇOS:</w:t>
      </w:r>
    </w:p>
    <w:p>
      <w:pPr>
        <w:overflowPunct w:val="0"/>
        <w:autoSpaceDE w:val="0"/>
        <w:autoSpaceDN w:val="0"/>
        <w:adjustRightInd w:val="0"/>
        <w:spacing w:after="0" w:line="240" w:lineRule="auto"/>
        <w:textAlignment w:val="baseline"/>
        <w:rPr>
          <w:rFonts w:eastAsia="Times New Roman"/>
          <w:sz w:val="24"/>
          <w:szCs w:val="24"/>
          <w:lang w:eastAsia="pt-BR"/>
        </w:rPr>
      </w:pPr>
    </w:p>
    <w:p>
      <w:pPr>
        <w:jc w:val="both"/>
        <w:rPr>
          <w:sz w:val="24"/>
          <w:szCs w:val="24"/>
        </w:rPr>
      </w:pPr>
      <w:r>
        <w:rPr>
          <w:rFonts w:hint="default"/>
          <w:b/>
          <w:bCs/>
          <w:sz w:val="24"/>
          <w:szCs w:val="24"/>
          <w:lang w:val="pt-BR"/>
        </w:rPr>
        <w:t>14</w:t>
      </w:r>
      <w:r>
        <w:rPr>
          <w:b/>
          <w:bCs/>
          <w:sz w:val="24"/>
          <w:szCs w:val="24"/>
        </w:rPr>
        <w:t>.1</w:t>
      </w:r>
      <w:r>
        <w:rPr>
          <w:sz w:val="24"/>
          <w:szCs w:val="24"/>
        </w:rPr>
        <w:t xml:space="preserve"> – Os itens licitados serão solicitados conforme a necessidade da Gerência através de requisição de serviço devidamente assinada, devendo a </w:t>
      </w:r>
      <w:r>
        <w:rPr>
          <w:iCs/>
          <w:sz w:val="24"/>
          <w:szCs w:val="24"/>
        </w:rPr>
        <w:t>Licitante Vencedora realizar com seus próprios meios, todos os serviços relacionados com o objeto desta licitação, de acordo com a solicitação detalhada na requisição.</w:t>
      </w:r>
    </w:p>
    <w:p>
      <w:pPr>
        <w:jc w:val="both"/>
        <w:rPr>
          <w:sz w:val="24"/>
          <w:szCs w:val="24"/>
        </w:rPr>
      </w:pPr>
      <w:r>
        <w:rPr>
          <w:rFonts w:hint="default"/>
          <w:b/>
          <w:bCs/>
          <w:sz w:val="24"/>
          <w:szCs w:val="24"/>
          <w:lang w:val="pt-BR"/>
        </w:rPr>
        <w:t>14</w:t>
      </w:r>
      <w:r>
        <w:rPr>
          <w:b/>
          <w:bCs/>
          <w:sz w:val="24"/>
          <w:szCs w:val="24"/>
        </w:rPr>
        <w:t>.2</w:t>
      </w:r>
      <w:r>
        <w:rPr>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pPr>
        <w:jc w:val="both"/>
        <w:rPr>
          <w:sz w:val="24"/>
          <w:szCs w:val="24"/>
        </w:rPr>
      </w:pPr>
      <w:r>
        <w:rPr>
          <w:rFonts w:hint="default"/>
          <w:b/>
          <w:bCs/>
          <w:sz w:val="24"/>
          <w:szCs w:val="24"/>
          <w:lang w:val="pt-BR"/>
        </w:rPr>
        <w:t>14</w:t>
      </w:r>
      <w:r>
        <w:rPr>
          <w:b/>
          <w:bCs/>
          <w:sz w:val="24"/>
          <w:szCs w:val="24"/>
        </w:rPr>
        <w:t>.3</w:t>
      </w:r>
      <w:r>
        <w:rPr>
          <w:sz w:val="24"/>
          <w:szCs w:val="24"/>
        </w:rPr>
        <w:t xml:space="preserve"> – A licitante vencedora ficará obrigada a refazer as suas expensas o serviço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r>
        <w:rPr>
          <w:rFonts w:hint="default"/>
          <w:b/>
          <w:bCs/>
          <w:sz w:val="24"/>
          <w:szCs w:val="24"/>
          <w:lang w:val="pt-BR"/>
        </w:rPr>
        <w:t>14</w:t>
      </w:r>
      <w:r>
        <w:rPr>
          <w:b/>
          <w:bCs/>
          <w:sz w:val="24"/>
          <w:szCs w:val="24"/>
        </w:rPr>
        <w:t>.4</w:t>
      </w:r>
      <w:r>
        <w:rPr>
          <w:sz w:val="24"/>
          <w:szCs w:val="24"/>
        </w:rPr>
        <w:t xml:space="preserve"> – Independentemente da aceitação, a adjudicatária garantirá a qualidade dos serviços obrigando-se a refazer aquele que estiver em desacordo com o apresentado na proposta.</w:t>
      </w: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hint="default" w:eastAsia="Times New Roman"/>
          <w:b/>
          <w:bCs/>
          <w:color w:val="000000"/>
          <w:sz w:val="24"/>
          <w:szCs w:val="24"/>
          <w:lang w:val="pt-BR"/>
        </w:rPr>
        <w:t>20</w:t>
      </w:r>
      <w:r>
        <w:rPr>
          <w:rFonts w:eastAsia="Times New Roman"/>
          <w:b/>
          <w:bCs/>
          <w:color w:val="000000"/>
          <w:sz w:val="24"/>
          <w:szCs w:val="24"/>
        </w:rPr>
        <w:t xml:space="preserve">.11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sz w:val="24"/>
          <w:szCs w:val="24"/>
          <w:lang w:val="pt-BR"/>
        </w:rPr>
        <w:t>12 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2"/>
          <w:szCs w:val="22"/>
        </w:rPr>
        <w:t>1 OBJETO: REGISTRO DE PREÇOS OBJETIVANDO A CONTRATAÇÃO FUTURA DE EMPRESA ESPECIALIZADA EM LOCAÇÃO DE SANITÁRIOS QUÍMICOS CONFORME TERMO DE REFERÊNCIA, PARA ATENDER A DEMANDA DA GERÊNCIA DE SAÚDE E GERÊNCIA DE EDUCAÇÃO E CULTURA DO MUNICÍPIO DE NAVIRAÍ-MS. PEDIDOS DE SERVIÇO Nº 171/2021 E 183/2021.</w:t>
      </w:r>
    </w:p>
    <w:tbl>
      <w:tblPr>
        <w:tblStyle w:val="12"/>
        <w:tblW w:w="92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85"/>
        <w:gridCol w:w="685"/>
        <w:gridCol w:w="896"/>
        <w:gridCol w:w="720"/>
        <w:gridCol w:w="62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685"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ITEM</w:t>
            </w:r>
          </w:p>
        </w:tc>
        <w:tc>
          <w:tcPr>
            <w:tcW w:w="685"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SUB</w:t>
            </w:r>
            <w:r>
              <w:rPr>
                <w:rFonts w:eastAsia="Arial Unicode MS"/>
                <w:szCs w:val="20"/>
              </w:rPr>
              <w:t>ITEM</w:t>
            </w:r>
          </w:p>
        </w:tc>
        <w:tc>
          <w:tcPr>
            <w:tcW w:w="896"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72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24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85"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1</w:t>
            </w:r>
          </w:p>
        </w:tc>
        <w:tc>
          <w:tcPr>
            <w:tcW w:w="685"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1.</w:t>
            </w:r>
            <w:r>
              <w:rPr>
                <w:rFonts w:eastAsia="Arial Unicode MS"/>
                <w:szCs w:val="20"/>
              </w:rPr>
              <w:t>1</w:t>
            </w:r>
          </w:p>
        </w:tc>
        <w:tc>
          <w:tcPr>
            <w:tcW w:w="89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1.060</w:t>
            </w:r>
          </w:p>
        </w:tc>
        <w:tc>
          <w:tcPr>
            <w:tcW w:w="72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DR</w:t>
            </w:r>
          </w:p>
        </w:tc>
        <w:tc>
          <w:tcPr>
            <w:tcW w:w="624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SANITÁRIO QUÍMICO PORTÁTIL COM SUCÇÃO DIÁRIA E REPOSIÇÃO DE QUÍMICA BIODEGRADÁVEL (DIA)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85"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pPr>
          </w:p>
        </w:tc>
        <w:tc>
          <w:tcPr>
            <w:tcW w:w="685"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drawing>
                <wp:anchor distT="0" distB="0" distL="114300" distR="114300" simplePos="0" relativeHeight="251659264" behindDoc="0" locked="0" layoutInCell="1" allowOverlap="1">
                  <wp:simplePos x="0" y="0"/>
                  <wp:positionH relativeFrom="column">
                    <wp:posOffset>206375</wp:posOffset>
                  </wp:positionH>
                  <wp:positionV relativeFrom="paragraph">
                    <wp:posOffset>445135</wp:posOffset>
                  </wp:positionV>
                  <wp:extent cx="5295265" cy="6600825"/>
                  <wp:effectExtent l="0" t="0" r="635" b="9525"/>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295265" cy="6600825"/>
                          </a:xfrm>
                          <a:prstGeom prst="rect">
                            <a:avLst/>
                          </a:prstGeom>
                          <a:noFill/>
                          <a:ln>
                            <a:noFill/>
                          </a:ln>
                        </pic:spPr>
                      </pic:pic>
                    </a:graphicData>
                  </a:graphic>
                </wp:anchor>
              </w:drawing>
            </w:r>
            <w:r>
              <w:rPr>
                <w:rFonts w:hint="default" w:eastAsia="Arial Unicode MS"/>
                <w:szCs w:val="20"/>
                <w:lang w:val="pt-BR"/>
              </w:rPr>
              <w:t>1.</w:t>
            </w:r>
            <w:r>
              <w:rPr>
                <w:rFonts w:eastAsia="Arial Unicode MS"/>
                <w:szCs w:val="20"/>
              </w:rPr>
              <w:t>2</w:t>
            </w:r>
          </w:p>
        </w:tc>
        <w:tc>
          <w:tcPr>
            <w:tcW w:w="89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520</w:t>
            </w:r>
          </w:p>
        </w:tc>
        <w:tc>
          <w:tcPr>
            <w:tcW w:w="72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DR</w:t>
            </w:r>
          </w:p>
        </w:tc>
        <w:tc>
          <w:tcPr>
            <w:tcW w:w="624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SANITÁRIO QUÍMICO PORTÁTIL PNE COM SUCÇÃO DIÁRIA E REPOSIÇÃO DE QUÍMICA BIODEGRADÁVEL (DIA)</w:t>
            </w:r>
          </w:p>
        </w:tc>
      </w:tr>
    </w:tbl>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drawing>
          <wp:inline distT="0" distB="0" distL="114300" distR="114300">
            <wp:extent cx="5579110" cy="7562215"/>
            <wp:effectExtent l="0" t="0" r="2540" b="635"/>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5579110" cy="7562215"/>
                    </a:xfrm>
                    <a:prstGeom prst="rect">
                      <a:avLst/>
                    </a:prstGeom>
                    <a:noFill/>
                    <a:ln>
                      <a:noFill/>
                    </a:ln>
                  </pic:spPr>
                </pic:pic>
              </a:graphicData>
            </a:graphic>
          </wp:inline>
        </w:drawing>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r>
        <w:drawing>
          <wp:inline distT="0" distB="0" distL="114300" distR="114300">
            <wp:extent cx="5452745" cy="7113905"/>
            <wp:effectExtent l="0" t="0" r="14605" b="10795"/>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1"/>
                    <a:stretch>
                      <a:fillRect/>
                    </a:stretch>
                  </pic:blipFill>
                  <pic:spPr>
                    <a:xfrm>
                      <a:off x="0" y="0"/>
                      <a:ext cx="5452745" cy="7113905"/>
                    </a:xfrm>
                    <a:prstGeom prst="rect">
                      <a:avLst/>
                    </a:prstGeom>
                    <a:noFill/>
                    <a:ln>
                      <a:noFill/>
                    </a:ln>
                  </pic:spPr>
                </pic:pic>
              </a:graphicData>
            </a:graphic>
          </wp:inline>
        </w:drawing>
      </w:r>
    </w:p>
    <w:p>
      <w:pPr>
        <w:keepNext/>
        <w:spacing w:after="0" w:line="240" w:lineRule="auto"/>
        <w:jc w:val="both"/>
        <w:outlineLvl w:val="5"/>
        <w:rPr>
          <w:rFonts w:eastAsia="Times New Roman"/>
          <w:b/>
          <w:bCs/>
          <w:sz w:val="24"/>
          <w:szCs w:val="24"/>
          <w:lang w:eastAsia="pt-BR"/>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10 (dez) dias úteis</w:t>
      </w: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Indicado na Ordem de Fornecimento</w:t>
      </w: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sectPr>
          <w:headerReference r:id="rId5" w:type="default"/>
          <w:footerReference r:id="rId6" w:type="default"/>
          <w:footerReference r:id="rId7" w:type="even"/>
          <w:pgSz w:w="11907" w:h="16840"/>
          <w:pgMar w:top="1537" w:right="1310" w:bottom="709" w:left="1797" w:header="284" w:footer="459" w:gutter="0"/>
          <w:cols w:space="720" w:num="1"/>
          <w:docGrid w:linePitch="272" w:charSpace="0"/>
        </w:sectPr>
      </w:pPr>
    </w:p>
    <w:p>
      <w:pPr>
        <w:keepNext/>
        <w:spacing w:after="0" w:line="240" w:lineRule="auto"/>
        <w:jc w:val="both"/>
        <w:outlineLvl w:val="5"/>
        <w:rPr>
          <w:rFonts w:eastAsia="Times New Roman"/>
          <w:b/>
          <w:bCs/>
          <w:sz w:val="22"/>
          <w:szCs w:val="22"/>
          <w:lang w:eastAsia="pt-BR"/>
        </w:rPr>
      </w:pPr>
      <w:r>
        <w:rPr>
          <w:rFonts w:eastAsia="Times New Roman"/>
          <w:b/>
          <w:bCs/>
          <w:sz w:val="22"/>
          <w:szCs w:val="22"/>
          <w:lang w:eastAsia="pt-BR"/>
        </w:rPr>
        <w:t>ANEXO II – PROPOSTA DE PREÇOS</w:t>
      </w:r>
    </w:p>
    <w:p>
      <w:pPr>
        <w:keepNext/>
        <w:spacing w:after="0" w:line="240" w:lineRule="auto"/>
        <w:jc w:val="both"/>
        <w:outlineLvl w:val="5"/>
        <w:rPr>
          <w:rFonts w:eastAsia="Times New Roman"/>
          <w:b/>
          <w:bCs/>
          <w:sz w:val="22"/>
          <w:szCs w:val="22"/>
          <w:lang w:eastAsia="pt-BR"/>
        </w:rPr>
      </w:pPr>
      <w:r>
        <w:rPr>
          <w:rFonts w:eastAsia="Times New Roman"/>
          <w:b/>
          <w:bCs/>
          <w:sz w:val="22"/>
          <w:szCs w:val="22"/>
          <w:lang w:eastAsia="pt-BR"/>
        </w:rPr>
        <w:t>PREFEITURA DE NAVIRAÍ - MS</w:t>
      </w:r>
    </w:p>
    <w:p>
      <w:pPr>
        <w:overflowPunct w:val="0"/>
        <w:autoSpaceDE w:val="0"/>
        <w:autoSpaceDN w:val="0"/>
        <w:adjustRightInd w:val="0"/>
        <w:spacing w:after="0" w:line="240" w:lineRule="auto"/>
        <w:textAlignment w:val="baseline"/>
        <w:rPr>
          <w:rFonts w:eastAsia="Arial Unicode MS"/>
          <w:b/>
          <w:sz w:val="22"/>
          <w:szCs w:val="22"/>
        </w:rPr>
      </w:pPr>
      <w:r>
        <w:rPr>
          <w:rFonts w:eastAsia="Arial Unicode MS"/>
          <w:b/>
          <w:sz w:val="22"/>
          <w:szCs w:val="22"/>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87/2021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15067"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4"/>
        <w:gridCol w:w="835"/>
        <w:gridCol w:w="697"/>
        <w:gridCol w:w="3933"/>
        <w:gridCol w:w="1335"/>
        <w:gridCol w:w="1338"/>
        <w:gridCol w:w="1399"/>
        <w:gridCol w:w="1448"/>
        <w:gridCol w:w="1065"/>
        <w:gridCol w:w="13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b/>
                <w:i/>
                <w:szCs w:val="20"/>
                <w:lang w:val="pt-BR"/>
              </w:rPr>
            </w:pPr>
            <w:r>
              <w:rPr>
                <w:rFonts w:hint="default" w:eastAsia="Arial Unicode MS"/>
                <w:b w:val="0"/>
                <w:bCs/>
                <w:i w:val="0"/>
                <w:iCs/>
                <w:szCs w:val="20"/>
                <w:lang w:val="pt-BR"/>
              </w:rPr>
              <w:t>ITEM</w:t>
            </w:r>
          </w:p>
        </w:tc>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hint="default" w:eastAsia="Arial Unicode MS"/>
                <w:b/>
                <w:i/>
                <w:szCs w:val="20"/>
                <w:lang w:val="pt-BR"/>
              </w:rPr>
            </w:pPr>
            <w:r>
              <w:rPr>
                <w:rFonts w:eastAsia="Arial Unicode MS"/>
                <w:b/>
                <w:i/>
                <w:szCs w:val="20"/>
              </w:rPr>
              <w:t xml:space="preserve"> </w:t>
            </w:r>
            <w:r>
              <w:rPr>
                <w:rFonts w:hint="default" w:eastAsia="Arial Unicode MS"/>
                <w:b w:val="0"/>
                <w:bCs/>
                <w:i w:val="0"/>
                <w:iCs/>
                <w:szCs w:val="20"/>
                <w:lang w:val="pt-BR"/>
              </w:rPr>
              <w:t>SUB</w:t>
            </w:r>
          </w:p>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393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335" w:type="dxa"/>
            <w:tcBorders>
              <w:top w:val="single" w:color="auto" w:sz="6" w:space="0"/>
              <w:left w:val="single" w:color="auto" w:sz="6" w:space="0"/>
              <w:bottom w:val="nil"/>
              <w:right w:val="single" w:color="auto" w:sz="6" w:space="0"/>
            </w:tcBorders>
          </w:tcPr>
          <w:p>
            <w:pPr>
              <w:spacing w:line="240" w:lineRule="auto"/>
              <w:jc w:val="center"/>
              <w:rPr>
                <w:rFonts w:eastAsia="Arial Unicode MS"/>
                <w:sz w:val="14"/>
                <w:szCs w:val="14"/>
              </w:rPr>
            </w:pPr>
            <w:r>
              <w:rPr>
                <w:rFonts w:eastAsia="Arial Unicode MS"/>
                <w:sz w:val="14"/>
                <w:szCs w:val="14"/>
              </w:rPr>
              <w:t xml:space="preserve">Valor </w:t>
            </w:r>
          </w:p>
          <w:p>
            <w:pPr>
              <w:overflowPunct w:val="0"/>
              <w:autoSpaceDE w:val="0"/>
              <w:autoSpaceDN w:val="0"/>
              <w:adjustRightInd w:val="0"/>
              <w:spacing w:after="0"/>
              <w:jc w:val="center"/>
              <w:textAlignment w:val="baseline"/>
              <w:rPr>
                <w:rFonts w:eastAsia="Arial Unicode MS"/>
                <w:szCs w:val="20"/>
              </w:rPr>
            </w:pPr>
            <w:r>
              <w:rPr>
                <w:rFonts w:eastAsia="Arial Unicode MS"/>
                <w:sz w:val="14"/>
                <w:szCs w:val="14"/>
              </w:rPr>
              <w:t>unitario da diaria (R$)</w:t>
            </w:r>
          </w:p>
        </w:tc>
        <w:tc>
          <w:tcPr>
            <w:tcW w:w="1338" w:type="dxa"/>
            <w:tcBorders>
              <w:top w:val="single" w:color="auto" w:sz="6" w:space="0"/>
              <w:left w:val="single" w:color="auto" w:sz="6" w:space="0"/>
              <w:bottom w:val="nil"/>
              <w:right w:val="single" w:color="auto" w:sz="6" w:space="0"/>
            </w:tcBorders>
          </w:tcPr>
          <w:p>
            <w:pPr>
              <w:spacing w:line="240" w:lineRule="auto"/>
              <w:jc w:val="center"/>
              <w:rPr>
                <w:rFonts w:eastAsia="Arial Unicode MS"/>
                <w:sz w:val="14"/>
                <w:szCs w:val="14"/>
              </w:rPr>
            </w:pPr>
          </w:p>
          <w:p>
            <w:pPr>
              <w:spacing w:line="240" w:lineRule="auto"/>
              <w:jc w:val="center"/>
              <w:rPr>
                <w:rFonts w:eastAsia="Arial Unicode MS"/>
                <w:sz w:val="14"/>
                <w:szCs w:val="14"/>
              </w:rPr>
            </w:pPr>
            <w:r>
              <w:rPr>
                <w:rFonts w:eastAsia="Arial Unicode MS"/>
                <w:sz w:val="14"/>
                <w:szCs w:val="14"/>
              </w:rPr>
              <w:t>MOBILIZAÇÃO E DESMOBILIZAÇÃO DOS SANITÁRIOS.</w:t>
            </w:r>
          </w:p>
          <w:p>
            <w:pPr>
              <w:overflowPunct w:val="0"/>
              <w:autoSpaceDE w:val="0"/>
              <w:autoSpaceDN w:val="0"/>
              <w:adjustRightInd w:val="0"/>
              <w:spacing w:after="0"/>
              <w:jc w:val="center"/>
              <w:textAlignment w:val="baseline"/>
              <w:rPr>
                <w:rFonts w:eastAsia="Arial Unicode MS"/>
                <w:sz w:val="14"/>
                <w:szCs w:val="14"/>
              </w:rPr>
            </w:pPr>
            <w:r>
              <w:rPr>
                <w:rFonts w:eastAsia="Arial Unicode MS"/>
                <w:sz w:val="14"/>
                <w:szCs w:val="14"/>
              </w:rPr>
              <w:t xml:space="preserve"> (%)</w:t>
            </w:r>
          </w:p>
        </w:tc>
        <w:tc>
          <w:tcPr>
            <w:tcW w:w="1399" w:type="dxa"/>
            <w:tcBorders>
              <w:top w:val="single" w:color="auto" w:sz="6" w:space="0"/>
              <w:left w:val="single" w:color="auto" w:sz="6" w:space="0"/>
              <w:bottom w:val="nil"/>
              <w:right w:val="single" w:color="auto" w:sz="6" w:space="0"/>
            </w:tcBorders>
          </w:tcPr>
          <w:p>
            <w:pPr>
              <w:spacing w:line="240" w:lineRule="auto"/>
              <w:jc w:val="center"/>
              <w:rPr>
                <w:rFonts w:eastAsia="Arial Unicode MS"/>
                <w:sz w:val="14"/>
                <w:szCs w:val="14"/>
              </w:rPr>
            </w:pPr>
            <w:r>
              <w:rPr>
                <w:rFonts w:eastAsia="Arial Unicode MS"/>
                <w:sz w:val="14"/>
                <w:szCs w:val="14"/>
              </w:rPr>
              <w:t>Encargos</w:t>
            </w:r>
          </w:p>
          <w:p>
            <w:pPr>
              <w:spacing w:line="240" w:lineRule="auto"/>
              <w:jc w:val="center"/>
              <w:rPr>
                <w:rFonts w:eastAsia="Arial Unicode MS"/>
                <w:sz w:val="14"/>
                <w:szCs w:val="14"/>
              </w:rPr>
            </w:pPr>
            <w:r>
              <w:rPr>
                <w:rFonts w:eastAsia="Arial Unicode MS"/>
                <w:sz w:val="14"/>
                <w:szCs w:val="14"/>
              </w:rPr>
              <w:t>( DARF, ISSQN, IPVA, SEGURO OBRIGATÓRIO, VISTORIA, ETC)</w:t>
            </w:r>
          </w:p>
          <w:p>
            <w:pPr>
              <w:overflowPunct w:val="0"/>
              <w:autoSpaceDE w:val="0"/>
              <w:autoSpaceDN w:val="0"/>
              <w:adjustRightInd w:val="0"/>
              <w:spacing w:after="0"/>
              <w:jc w:val="center"/>
              <w:textAlignment w:val="baseline"/>
              <w:rPr>
                <w:rFonts w:eastAsia="Arial Unicode MS"/>
                <w:szCs w:val="20"/>
              </w:rPr>
            </w:pPr>
            <w:r>
              <w:rPr>
                <w:rFonts w:eastAsia="Arial Unicode MS"/>
                <w:sz w:val="14"/>
                <w:szCs w:val="14"/>
              </w:rPr>
              <w:t>(%)</w:t>
            </w:r>
          </w:p>
        </w:tc>
        <w:tc>
          <w:tcPr>
            <w:tcW w:w="1448" w:type="dxa"/>
            <w:tcBorders>
              <w:top w:val="single" w:color="auto" w:sz="6" w:space="0"/>
              <w:left w:val="single" w:color="auto" w:sz="6" w:space="0"/>
              <w:bottom w:val="nil"/>
              <w:right w:val="single" w:color="auto" w:sz="6" w:space="0"/>
            </w:tcBorders>
          </w:tcPr>
          <w:p>
            <w:pPr>
              <w:spacing w:line="240" w:lineRule="auto"/>
              <w:jc w:val="center"/>
              <w:rPr>
                <w:rFonts w:eastAsia="Arial Unicode MS"/>
                <w:sz w:val="14"/>
                <w:szCs w:val="14"/>
              </w:rPr>
            </w:pPr>
            <w:r>
              <w:rPr>
                <w:rFonts w:eastAsia="Arial Unicode MS"/>
                <w:sz w:val="14"/>
                <w:szCs w:val="14"/>
              </w:rPr>
              <w:t>Salários</w:t>
            </w:r>
          </w:p>
          <w:p>
            <w:pPr>
              <w:spacing w:line="240" w:lineRule="auto"/>
              <w:jc w:val="center"/>
              <w:rPr>
                <w:rFonts w:eastAsia="Arial Unicode MS"/>
                <w:sz w:val="14"/>
                <w:szCs w:val="14"/>
              </w:rPr>
            </w:pPr>
            <w:r>
              <w:rPr>
                <w:rFonts w:eastAsia="Arial Unicode MS"/>
                <w:sz w:val="14"/>
                <w:szCs w:val="14"/>
              </w:rPr>
              <w:t>REMUNERAÇÕES, FGTS, INSS, 13º SALARIO, FÉRIAS</w:t>
            </w:r>
          </w:p>
          <w:p>
            <w:pPr>
              <w:overflowPunct w:val="0"/>
              <w:autoSpaceDE w:val="0"/>
              <w:autoSpaceDN w:val="0"/>
              <w:adjustRightInd w:val="0"/>
              <w:spacing w:after="0"/>
              <w:jc w:val="center"/>
              <w:textAlignment w:val="baseline"/>
              <w:rPr>
                <w:rFonts w:eastAsia="Arial Unicode MS"/>
                <w:sz w:val="14"/>
                <w:szCs w:val="14"/>
              </w:rPr>
            </w:pPr>
            <w:r>
              <w:rPr>
                <w:rFonts w:eastAsia="Arial Unicode MS"/>
                <w:sz w:val="14"/>
                <w:szCs w:val="14"/>
              </w:rPr>
              <w:t xml:space="preserve"> (%)</w:t>
            </w:r>
          </w:p>
        </w:tc>
        <w:tc>
          <w:tcPr>
            <w:tcW w:w="1065" w:type="dxa"/>
            <w:tcBorders>
              <w:top w:val="single" w:color="auto" w:sz="6" w:space="0"/>
              <w:left w:val="single" w:color="auto" w:sz="6" w:space="0"/>
              <w:bottom w:val="nil"/>
              <w:right w:val="single" w:color="auto" w:sz="6" w:space="0"/>
            </w:tcBorders>
            <w:vAlign w:val="top"/>
          </w:tcPr>
          <w:p>
            <w:pPr>
              <w:spacing w:line="240" w:lineRule="auto"/>
              <w:jc w:val="center"/>
              <w:rPr>
                <w:rFonts w:eastAsia="Arial Unicode MS"/>
                <w:sz w:val="14"/>
                <w:szCs w:val="14"/>
              </w:rPr>
            </w:pPr>
            <w:r>
              <w:rPr>
                <w:rFonts w:eastAsia="Arial Unicode MS"/>
                <w:sz w:val="14"/>
                <w:szCs w:val="14"/>
              </w:rPr>
              <w:t>LUCRO</w:t>
            </w:r>
          </w:p>
          <w:p>
            <w:pPr>
              <w:spacing w:line="240" w:lineRule="auto"/>
              <w:jc w:val="center"/>
              <w:rPr>
                <w:rFonts w:eastAsia="Arial Unicode MS"/>
                <w:sz w:val="14"/>
                <w:szCs w:val="14"/>
              </w:rPr>
            </w:pPr>
            <w:r>
              <w:rPr>
                <w:rFonts w:eastAsia="Arial Unicode MS"/>
                <w:sz w:val="14"/>
                <w:szCs w:val="14"/>
              </w:rPr>
              <w:t>(%)</w:t>
            </w:r>
          </w:p>
        </w:tc>
        <w:tc>
          <w:tcPr>
            <w:tcW w:w="1349" w:type="dxa"/>
            <w:tcBorders>
              <w:top w:val="single" w:color="auto" w:sz="6" w:space="0"/>
              <w:left w:val="single" w:color="auto" w:sz="6" w:space="0"/>
              <w:bottom w:val="nil"/>
              <w:right w:val="single" w:color="auto" w:sz="6" w:space="0"/>
            </w:tcBorders>
            <w:vAlign w:val="top"/>
          </w:tcPr>
          <w:p>
            <w:pPr>
              <w:spacing w:line="240" w:lineRule="auto"/>
              <w:jc w:val="center"/>
              <w:rPr>
                <w:rFonts w:eastAsia="Arial Unicode MS"/>
                <w:sz w:val="14"/>
                <w:szCs w:val="14"/>
              </w:rPr>
            </w:pPr>
            <w:r>
              <w:rPr>
                <w:rFonts w:eastAsia="Arial Unicode MS"/>
                <w:sz w:val="14"/>
                <w:szCs w:val="14"/>
              </w:rPr>
              <w:t>VALOR TOTAL</w:t>
            </w:r>
          </w:p>
          <w:p>
            <w:pPr>
              <w:spacing w:line="240" w:lineRule="auto"/>
              <w:jc w:val="center"/>
              <w:rPr>
                <w:rFonts w:eastAsia="Arial Unicode MS"/>
                <w:szCs w:val="20"/>
              </w:rPr>
            </w:pPr>
            <w:r>
              <w:rPr>
                <w:rFonts w:eastAsia="Arial Unicode MS"/>
                <w:sz w:val="14"/>
                <w:szCs w:val="14"/>
              </w:rPr>
              <w:t>(R$)</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1</w:t>
            </w: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1.</w:t>
            </w: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DR</w:t>
            </w:r>
          </w:p>
        </w:tc>
        <w:tc>
          <w:tcPr>
            <w:tcW w:w="393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SANITÁRIO QUÍMICO PORTÁTIL COM SUCÇÃO DIÁRIA E REPOSIÇÃO DE QUÍMICA BIODEGRADÁVEL (DIA)</w:t>
            </w:r>
          </w:p>
        </w:tc>
        <w:tc>
          <w:tcPr>
            <w:tcW w:w="13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38"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48"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06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49"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1.</w:t>
            </w: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DR</w:t>
            </w:r>
          </w:p>
        </w:tc>
        <w:tc>
          <w:tcPr>
            <w:tcW w:w="393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SANITÁRIO QUÍMICO PORTÁTIL PNE COM SUCÇÃO DIÁRIA E REPOSIÇÃO DE QUÍMICA BIODEGRADÁVEL (DIA)</w:t>
            </w:r>
          </w:p>
        </w:tc>
        <w:tc>
          <w:tcPr>
            <w:tcW w:w="13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38"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448"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065"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349"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2"/>
          <w:szCs w:val="22"/>
        </w:rPr>
      </w:pPr>
      <w:r>
        <w:rPr>
          <w:rFonts w:eastAsia="Arial Unicode MS"/>
          <w:sz w:val="22"/>
          <w:szCs w:val="22"/>
        </w:rPr>
        <w:t xml:space="preserve">Declaro que examinei, conheço e me submeto a todas as condições contidas no Edital da presente Licitação modalidade Pregão Presenciais nº. </w:t>
      </w:r>
      <w:r>
        <w:rPr>
          <w:rFonts w:eastAsia="Arial Unicode MS"/>
          <w:b/>
          <w:sz w:val="22"/>
          <w:szCs w:val="22"/>
        </w:rPr>
        <w:t>87/2021</w:t>
      </w:r>
      <w:r>
        <w:rPr>
          <w:rFonts w:eastAsia="Arial Unicode MS"/>
          <w:sz w:val="22"/>
          <w:szCs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2"/>
          <w:szCs w:val="22"/>
        </w:rPr>
      </w:pPr>
      <w:r>
        <w:rPr>
          <w:rFonts w:eastAsia="Arial Unicode MS"/>
          <w:b/>
          <w:sz w:val="22"/>
          <w:szCs w:val="22"/>
        </w:rPr>
        <w:t>PRAZO DE VALIDADE DA PROPOSTA</w:t>
      </w:r>
      <w:r>
        <w:rPr>
          <w:rFonts w:eastAsia="Arial Unicode MS"/>
          <w:sz w:val="22"/>
          <w:szCs w:val="22"/>
        </w:rPr>
        <w:t>: MÍNIMO DE 60 (SESSENTA) DIAS, CONTADOS DA DATA DA ABERTURA DA MESMA.</w:t>
      </w:r>
    </w:p>
    <w:p>
      <w:pPr>
        <w:overflowPunct w:val="0"/>
        <w:autoSpaceDE w:val="0"/>
        <w:autoSpaceDN w:val="0"/>
        <w:adjustRightInd w:val="0"/>
        <w:spacing w:after="0" w:line="240" w:lineRule="auto"/>
        <w:jc w:val="center"/>
        <w:textAlignment w:val="baseline"/>
        <w:rPr>
          <w:rFonts w:eastAsia="Arial Unicode MS"/>
          <w:sz w:val="22"/>
          <w:szCs w:val="22"/>
        </w:rPr>
      </w:pPr>
      <w:r>
        <w:rPr>
          <w:rFonts w:eastAsia="Arial Unicode MS"/>
          <w:sz w:val="22"/>
          <w:szCs w:val="22"/>
        </w:rPr>
        <w:t>(Local)............................., data.................................de 2021.</w:t>
      </w:r>
    </w:p>
    <w:p>
      <w:pPr>
        <w:overflowPunct w:val="0"/>
        <w:autoSpaceDE w:val="0"/>
        <w:autoSpaceDN w:val="0"/>
        <w:adjustRightInd w:val="0"/>
        <w:spacing w:after="0" w:line="240" w:lineRule="auto"/>
        <w:jc w:val="center"/>
        <w:textAlignment w:val="baseline"/>
        <w:rPr>
          <w:rFonts w:eastAsia="Arial Unicode MS"/>
          <w:sz w:val="22"/>
          <w:szCs w:val="22"/>
        </w:rPr>
      </w:pPr>
      <w:r>
        <w:rPr>
          <w:rFonts w:eastAsia="Arial Unicode MS"/>
          <w:sz w:val="22"/>
          <w:szCs w:val="22"/>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2"/>
          <w:szCs w:val="22"/>
        </w:rPr>
      </w:pPr>
      <w:r>
        <w:rPr>
          <w:rFonts w:eastAsia="Arial Unicode MS"/>
          <w:sz w:val="22"/>
          <w:szCs w:val="22"/>
        </w:rPr>
        <w:t>CPF nº...........................</w:t>
      </w:r>
    </w:p>
    <w:p>
      <w:pPr>
        <w:numPr>
          <w:ilvl w:val="0"/>
          <w:numId w:val="4"/>
        </w:numPr>
        <w:overflowPunct w:val="0"/>
        <w:autoSpaceDE w:val="0"/>
        <w:autoSpaceDN w:val="0"/>
        <w:adjustRightInd w:val="0"/>
        <w:spacing w:after="0" w:line="240" w:lineRule="auto"/>
        <w:ind w:left="420" w:leftChars="0" w:hanging="420" w:firstLineChars="0"/>
        <w:contextualSpacing/>
        <w:jc w:val="both"/>
        <w:textAlignment w:val="baseline"/>
        <w:rPr>
          <w:rFonts w:eastAsia="Arial Unicode MS"/>
          <w:b/>
          <w:sz w:val="22"/>
        </w:rPr>
      </w:pPr>
      <w:r>
        <w:rPr>
          <w:rFonts w:eastAsia="Arial Unicode MS"/>
          <w:b/>
          <w:sz w:val="22"/>
          <w:lang w:eastAsia="pt-BR"/>
        </w:rPr>
        <w:t xml:space="preserve">Decomposição do valor unitário em percentual (%) </w:t>
      </w:r>
      <w:r>
        <w:rPr>
          <w:rFonts w:eastAsia="Arial Unicode MS"/>
          <w:sz w:val="22"/>
          <w:lang w:eastAsia="pt-BR"/>
        </w:rPr>
        <w:t xml:space="preserve">- Os campos do formulário devem ser preenchidos observando que, a </w:t>
      </w:r>
      <w:r>
        <w:rPr>
          <w:rFonts w:eastAsia="Arial Unicode MS"/>
          <w:b/>
          <w:i/>
          <w:sz w:val="22"/>
          <w:u w:val="single"/>
          <w:lang w:eastAsia="pt-BR"/>
        </w:rPr>
        <w:t xml:space="preserve">soma </w:t>
      </w:r>
      <w:r>
        <w:rPr>
          <w:rFonts w:eastAsia="Arial Unicode MS"/>
          <w:sz w:val="22"/>
          <w:lang w:eastAsia="pt-BR"/>
        </w:rPr>
        <w:t>dos percentuais na totalidade de ser igual a 100%;</w:t>
      </w: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Arial Unicode MS"/>
          <w:sz w:val="24"/>
          <w:szCs w:val="24"/>
        </w:rPr>
      </w:pPr>
      <w:r>
        <w:rPr>
          <w:rFonts w:eastAsia="Arial Unicode MS"/>
          <w:b/>
          <w:sz w:val="22"/>
          <w:lang w:eastAsia="pt-BR"/>
        </w:rPr>
        <w:t xml:space="preserve">Valor Total - </w:t>
      </w:r>
      <w:r>
        <w:rPr>
          <w:rFonts w:eastAsia="Arial Unicode MS"/>
          <w:sz w:val="22"/>
          <w:lang w:eastAsia="pt-BR"/>
        </w:rPr>
        <w:t>O campo do formulário deve ser preenchido observando que, o valor unitário deve ser multiplicado apenas pela quantidade de DR (diária);</w:t>
      </w: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1310"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160/2021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87/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hint="default" w:eastAsia="Times New Roman"/>
          <w:iCs/>
          <w:sz w:val="24"/>
          <w:szCs w:val="24"/>
          <w:lang w:val="pt-BR"/>
        </w:rPr>
        <w:t xml:space="preserve"> e</w:t>
      </w:r>
      <w:r>
        <w:rPr>
          <w:rFonts w:eastAsia="Times New Roman"/>
          <w:sz w:val="24"/>
          <w:szCs w:val="24"/>
        </w:rPr>
        <w:t xml:space="preserv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87/2021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PREÇOS OBJETIVANDO A CONTRATAÇÃO FUTURA DE EMPRESA ESPECIALIZADA EM LOCAÇÃO DE SANITÁRIOS QUÍMICOS CONFORME TERMO DE REFERÊNCIA, PARA ATENDER A DEMANDA DA GERÊNCIA DE SAÚDE E GERÊNCIA DE EDUCAÇÃO E CULTURA DO MUNICÍPIO DE NAVIRAÍ-MS. PEDIDOS DE SERVIÇO Nº 171/2021 E 183/2021.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87/2021</w:t>
      </w:r>
      <w:r>
        <w:rPr>
          <w:rFonts w:eastAsia="Times New Roman"/>
          <w:sz w:val="24"/>
          <w:szCs w:val="24"/>
          <w:lang w:eastAsia="pt-BR"/>
        </w:rPr>
        <w:t xml:space="preserve">, Processo n° </w:t>
      </w:r>
      <w:r>
        <w:rPr>
          <w:rFonts w:eastAsia="Times New Roman"/>
          <w:b/>
          <w:sz w:val="24"/>
          <w:szCs w:val="24"/>
          <w:lang w:eastAsia="pt-BR"/>
        </w:rPr>
        <w:t>160/2021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CLÁUSULA SÉTIMA - </w:t>
      </w:r>
      <w:r>
        <w:rPr>
          <w:rFonts w:eastAsia="Times New Roman"/>
          <w:b/>
          <w:bCs/>
          <w:sz w:val="24"/>
          <w:szCs w:val="24"/>
          <w:lang w:val="zh-CN" w:eastAsia="zh-CN"/>
        </w:rPr>
        <w:t>D</w:t>
      </w:r>
      <w:r>
        <w:rPr>
          <w:rFonts w:eastAsia="Times New Roman"/>
          <w:b/>
          <w:bCs/>
          <w:sz w:val="24"/>
          <w:szCs w:val="24"/>
          <w:lang w:eastAsia="zh-CN"/>
        </w:rPr>
        <w:t>A</w:t>
      </w:r>
      <w:r>
        <w:rPr>
          <w:rFonts w:eastAsia="Times New Roman"/>
          <w:b/>
          <w:bCs/>
          <w:sz w:val="24"/>
          <w:szCs w:val="24"/>
          <w:lang w:val="zh-CN" w:eastAsia="zh-CN"/>
        </w:rPr>
        <w:t xml:space="preserve"> </w:t>
      </w:r>
      <w:r>
        <w:rPr>
          <w:rFonts w:eastAsia="Times New Roman"/>
          <w:b/>
          <w:bCs/>
          <w:sz w:val="24"/>
          <w:szCs w:val="24"/>
        </w:rPr>
        <w:t>PRESTAÇÃO DOS SERVIÇOS:</w:t>
      </w:r>
    </w:p>
    <w:p>
      <w:pPr>
        <w:overflowPunct w:val="0"/>
        <w:autoSpaceDE w:val="0"/>
        <w:autoSpaceDN w:val="0"/>
        <w:adjustRightInd w:val="0"/>
        <w:spacing w:after="0" w:line="240" w:lineRule="auto"/>
        <w:textAlignment w:val="baseline"/>
        <w:rPr>
          <w:rFonts w:eastAsia="Times New Roman"/>
          <w:sz w:val="24"/>
          <w:szCs w:val="24"/>
          <w:lang w:eastAsia="pt-BR"/>
        </w:rPr>
      </w:pPr>
    </w:p>
    <w:p>
      <w:pPr>
        <w:jc w:val="both"/>
        <w:rPr>
          <w:sz w:val="24"/>
          <w:szCs w:val="24"/>
        </w:rPr>
      </w:pPr>
      <w:r>
        <w:rPr>
          <w:rFonts w:hint="default"/>
          <w:b/>
          <w:bCs/>
          <w:sz w:val="24"/>
          <w:szCs w:val="24"/>
          <w:lang w:val="pt-BR"/>
        </w:rPr>
        <w:t>7</w:t>
      </w:r>
      <w:r>
        <w:rPr>
          <w:b/>
          <w:bCs/>
          <w:sz w:val="24"/>
          <w:szCs w:val="24"/>
        </w:rPr>
        <w:t>.1</w:t>
      </w:r>
      <w:r>
        <w:rPr>
          <w:sz w:val="24"/>
          <w:szCs w:val="24"/>
        </w:rPr>
        <w:t xml:space="preserve"> – Os itens licitados serão solicitados conforme a necessidade da Gerência através de requisição de serviço devidamente assinada, devendo a </w:t>
      </w:r>
      <w:r>
        <w:rPr>
          <w:iCs/>
          <w:sz w:val="24"/>
          <w:szCs w:val="24"/>
        </w:rPr>
        <w:t>Licitante Vencedora realizar com seus próprios meios, todos os serviços relacionados com o objeto desta licitação, de acordo com a solicitação detalhada na requisição.</w:t>
      </w:r>
    </w:p>
    <w:p>
      <w:pPr>
        <w:jc w:val="both"/>
        <w:rPr>
          <w:sz w:val="24"/>
          <w:szCs w:val="24"/>
        </w:rPr>
      </w:pPr>
      <w:r>
        <w:rPr>
          <w:rFonts w:hint="default"/>
          <w:b/>
          <w:bCs/>
          <w:sz w:val="24"/>
          <w:szCs w:val="24"/>
          <w:lang w:val="pt-BR"/>
        </w:rPr>
        <w:t>7</w:t>
      </w:r>
      <w:r>
        <w:rPr>
          <w:b/>
          <w:bCs/>
          <w:sz w:val="24"/>
          <w:szCs w:val="24"/>
        </w:rPr>
        <w:t>.2</w:t>
      </w:r>
      <w:r>
        <w:rPr>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pPr>
        <w:jc w:val="both"/>
        <w:rPr>
          <w:sz w:val="24"/>
          <w:szCs w:val="24"/>
        </w:rPr>
      </w:pPr>
      <w:r>
        <w:rPr>
          <w:rFonts w:hint="default"/>
          <w:b/>
          <w:bCs/>
          <w:sz w:val="24"/>
          <w:szCs w:val="24"/>
          <w:lang w:val="pt-BR"/>
        </w:rPr>
        <w:t>7</w:t>
      </w:r>
      <w:r>
        <w:rPr>
          <w:b/>
          <w:bCs/>
          <w:sz w:val="24"/>
          <w:szCs w:val="24"/>
        </w:rPr>
        <w:t>.3</w:t>
      </w:r>
      <w:r>
        <w:rPr>
          <w:sz w:val="24"/>
          <w:szCs w:val="24"/>
        </w:rPr>
        <w:t xml:space="preserve"> – A licitante vencedora ficará obrigada a refazer as suas expensas o serviço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hint="default"/>
          <w:b/>
          <w:bCs/>
          <w:sz w:val="24"/>
          <w:szCs w:val="24"/>
          <w:lang w:val="pt-BR"/>
        </w:rPr>
        <w:t>7</w:t>
      </w:r>
      <w:r>
        <w:rPr>
          <w:b/>
          <w:bCs/>
          <w:sz w:val="24"/>
          <w:szCs w:val="24"/>
        </w:rPr>
        <w:t>.4</w:t>
      </w:r>
      <w:r>
        <w:rPr>
          <w:sz w:val="24"/>
          <w:szCs w:val="24"/>
        </w:rPr>
        <w:t xml:space="preserve"> – Independentemente da aceitação, a adjudicatária garantirá a qualidade dos serviços obrigando-se a refazer aquele que estiver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87/2021</w:t>
      </w:r>
      <w:r>
        <w:rPr>
          <w:rFonts w:eastAsia="Times New Roman"/>
          <w:sz w:val="24"/>
          <w:szCs w:val="24"/>
          <w:lang w:eastAsia="pt-BR"/>
        </w:rPr>
        <w:t xml:space="preserve"> – Processo nº. </w:t>
      </w:r>
      <w:r>
        <w:rPr>
          <w:rFonts w:eastAsia="Times New Roman"/>
          <w:b/>
          <w:sz w:val="24"/>
          <w:szCs w:val="24"/>
          <w:lang w:eastAsia="pt-BR"/>
        </w:rPr>
        <w:t>160/2021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27"/>
        <w:gridCol w:w="804"/>
        <w:gridCol w:w="3553"/>
        <w:gridCol w:w="1411"/>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w:t>
      </w:r>
      <w:r>
        <w:rPr>
          <w:rFonts w:hint="default" w:eastAsia="Times New Roman"/>
          <w:b/>
          <w:bCs/>
          <w:sz w:val="24"/>
          <w:szCs w:val="24"/>
          <w:lang w:val="pt-BR"/>
        </w:rPr>
        <w:t>0</w:t>
      </w:r>
      <w:r>
        <w:rPr>
          <w:rFonts w:eastAsia="Times New Roman"/>
          <w:b/>
          <w:bCs/>
          <w:sz w:val="24"/>
          <w:szCs w:val="24"/>
        </w:rPr>
        <w:t xml:space="preserve">87/2021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w:t>
      </w:r>
      <w:r>
        <w:rPr>
          <w:rFonts w:hint="default" w:eastAsia="Times New Roman"/>
          <w:b/>
          <w:iCs/>
          <w:sz w:val="24"/>
          <w:szCs w:val="24"/>
          <w:lang w:val="pt-BR"/>
        </w:rPr>
        <w:t>________</w:t>
      </w:r>
      <w:r>
        <w:rPr>
          <w:rFonts w:eastAsia="Times New Roman"/>
          <w:b/>
          <w:iCs/>
          <w:sz w:val="24"/>
          <w:szCs w:val="24"/>
        </w:rPr>
        <w:t xml:space="preserve">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hint="default" w:eastAsia="Times New Roman"/>
          <w:iCs/>
          <w:sz w:val="24"/>
          <w:szCs w:val="24"/>
          <w:lang w:val="pt-BR"/>
        </w:rPr>
        <w:t xml:space="preserve"> e</w:t>
      </w:r>
      <w:r>
        <w:rPr>
          <w:rFonts w:eastAsia="Times New Roman"/>
          <w:sz w:val="24"/>
          <w:szCs w:val="24"/>
        </w:rPr>
        <w:t xml:space="preserve"> </w:t>
      </w:r>
      <w:r>
        <w:rPr>
          <w:rFonts w:eastAsia="Times New Roman"/>
          <w:b/>
          <w:iCs/>
          <w:sz w:val="24"/>
          <w:szCs w:val="24"/>
          <w:u w:val="single"/>
        </w:rPr>
        <w:t>Tatiane Maria da Silva Morch</w:t>
      </w:r>
      <w:r>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160/2021</w:t>
      </w:r>
      <w:r>
        <w:rPr>
          <w:rFonts w:eastAsia="Times New Roman"/>
          <w:iCs/>
          <w:sz w:val="24"/>
          <w:szCs w:val="24"/>
          <w:lang w:eastAsia="pt-BR"/>
        </w:rPr>
        <w:t xml:space="preserve">, gerado pelo </w:t>
      </w:r>
      <w:r>
        <w:rPr>
          <w:rFonts w:eastAsia="Times New Roman"/>
          <w:b/>
          <w:iCs/>
          <w:sz w:val="24"/>
          <w:szCs w:val="24"/>
          <w:lang w:eastAsia="pt-BR"/>
        </w:rPr>
        <w:t>Pregão Presencial nº. 87/2021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CONTRATAÇÃO  DE EMPRESA ESPECIALIZADA EM LOCAÇÃO DE SANITÁRIOS QUÍMICOS CONFORME TERMO DE REFERÊNCIA, PARA ATENDER A DEMANDA DA GERÊNCIA DE SAÚDE E GERÊNCIA DE EDUCAÇÃO E CULTURA DO MUNICÍPIO DE NAVIRAÍ-MS. PEDIDOS DE SERVIÇO Nº 171/2021 E 183/2021.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overflowPunct w:val="0"/>
        <w:autoSpaceDE w:val="0"/>
        <w:autoSpaceDN w:val="0"/>
        <w:adjustRightInd w:val="0"/>
        <w:spacing w:after="0" w:line="240" w:lineRule="auto"/>
        <w:ind w:leftChars="0" w:right="-568" w:rightChars="0"/>
        <w:textAlignment w:val="baseline"/>
        <w:rPr>
          <w:rStyle w:val="14"/>
          <w:rFonts w:eastAsia="Times New Roman"/>
          <w:bCs/>
          <w:sz w:val="24"/>
          <w:szCs w:val="24"/>
          <w:lang w:eastAsia="pt-BR"/>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tbl>
      <w:tblPr>
        <w:tblStyle w:val="12"/>
        <w:tblW w:w="925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75"/>
        <w:gridCol w:w="685"/>
        <w:gridCol w:w="896"/>
        <w:gridCol w:w="720"/>
        <w:gridCol w:w="61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775"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ITEM</w:t>
            </w:r>
          </w:p>
        </w:tc>
        <w:tc>
          <w:tcPr>
            <w:tcW w:w="685"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SUB</w:t>
            </w:r>
            <w:r>
              <w:rPr>
                <w:rFonts w:eastAsia="Arial Unicode MS"/>
                <w:szCs w:val="20"/>
              </w:rPr>
              <w:t>ITEM</w:t>
            </w:r>
          </w:p>
        </w:tc>
        <w:tc>
          <w:tcPr>
            <w:tcW w:w="896"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72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17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75" w:type="dxa"/>
            <w:vMerge w:val="restart"/>
            <w:tcBorders>
              <w:top w:val="single" w:color="auto" w:sz="4" w:space="0"/>
              <w:left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eastAsia="Arial Unicode MS"/>
                <w:szCs w:val="20"/>
              </w:rPr>
            </w:pPr>
          </w:p>
          <w:p>
            <w:pPr>
              <w:overflowPunct w:val="0"/>
              <w:autoSpaceDE w:val="0"/>
              <w:autoSpaceDN w:val="0"/>
              <w:adjustRightInd w:val="0"/>
              <w:spacing w:after="0"/>
              <w:jc w:val="center"/>
              <w:textAlignment w:val="baseline"/>
              <w:rPr>
                <w:rFonts w:hint="default" w:eastAsia="Arial Unicode MS"/>
                <w:szCs w:val="20"/>
                <w:lang w:val="pt-BR"/>
              </w:rPr>
            </w:pPr>
            <w:r>
              <w:rPr>
                <w:rFonts w:hint="default" w:eastAsia="Arial Unicode MS"/>
                <w:szCs w:val="20"/>
                <w:lang w:val="pt-BR"/>
              </w:rPr>
              <w:t>1</w:t>
            </w:r>
          </w:p>
        </w:tc>
        <w:tc>
          <w:tcPr>
            <w:tcW w:w="685"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1.</w:t>
            </w:r>
            <w:r>
              <w:rPr>
                <w:rFonts w:eastAsia="Arial Unicode MS"/>
                <w:szCs w:val="20"/>
              </w:rPr>
              <w:t>1</w:t>
            </w:r>
          </w:p>
        </w:tc>
        <w:tc>
          <w:tcPr>
            <w:tcW w:w="89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1.060</w:t>
            </w:r>
          </w:p>
        </w:tc>
        <w:tc>
          <w:tcPr>
            <w:tcW w:w="72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DR</w:t>
            </w:r>
          </w:p>
        </w:tc>
        <w:tc>
          <w:tcPr>
            <w:tcW w:w="617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SANITÁRIO QUÍMICO PORTÁTIL COM SUCÇÃO DIÁRIA E REPOSIÇÃO DE QUÍMICA BIODEGRADÁVEL (DIA)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75" w:type="dxa"/>
            <w:vMerge w:val="continue"/>
            <w:tcBorders>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pPr>
          </w:p>
        </w:tc>
        <w:tc>
          <w:tcPr>
            <w:tcW w:w="685"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1.</w:t>
            </w:r>
            <w:r>
              <w:rPr>
                <w:rFonts w:eastAsia="Arial Unicode MS"/>
                <w:szCs w:val="20"/>
              </w:rPr>
              <w:t>2</w:t>
            </w:r>
          </w:p>
        </w:tc>
        <w:tc>
          <w:tcPr>
            <w:tcW w:w="896"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520</w:t>
            </w:r>
          </w:p>
        </w:tc>
        <w:tc>
          <w:tcPr>
            <w:tcW w:w="72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DR</w:t>
            </w:r>
          </w:p>
        </w:tc>
        <w:tc>
          <w:tcPr>
            <w:tcW w:w="617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SANITÁRIO QUÍMICO PORTÁTIL PNE COM SUCÇÃO DIÁRIA E REPOSIÇÃO DE QUÍMICA BIODEGRADÁVEL (DIA)</w:t>
            </w: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iCs/>
          <w:sz w:val="24"/>
          <w:szCs w:val="24"/>
        </w:rPr>
        <w:t xml:space="preserve">CLÁUSULA TERCEIRA - </w:t>
      </w:r>
      <w:r>
        <w:rPr>
          <w:rFonts w:eastAsia="Times New Roman"/>
          <w:b/>
          <w:bCs/>
          <w:sz w:val="24"/>
          <w:szCs w:val="24"/>
          <w:lang w:val="zh-CN" w:eastAsia="zh-CN"/>
        </w:rPr>
        <w:t>D</w:t>
      </w:r>
      <w:r>
        <w:rPr>
          <w:rFonts w:eastAsia="Times New Roman"/>
          <w:b/>
          <w:bCs/>
          <w:sz w:val="24"/>
          <w:szCs w:val="24"/>
          <w:lang w:eastAsia="zh-CN"/>
        </w:rPr>
        <w:t>A</w:t>
      </w:r>
      <w:r>
        <w:rPr>
          <w:rFonts w:eastAsia="Times New Roman"/>
          <w:b/>
          <w:bCs/>
          <w:sz w:val="24"/>
          <w:szCs w:val="24"/>
          <w:lang w:val="zh-CN" w:eastAsia="zh-CN"/>
        </w:rPr>
        <w:t xml:space="preserve"> </w:t>
      </w:r>
      <w:r>
        <w:rPr>
          <w:rFonts w:eastAsia="Times New Roman"/>
          <w:b/>
          <w:bCs/>
          <w:sz w:val="24"/>
          <w:szCs w:val="24"/>
        </w:rPr>
        <w:t>PRESTAÇÃO DOS SERVIÇOS:</w:t>
      </w:r>
    </w:p>
    <w:p>
      <w:pPr>
        <w:overflowPunct w:val="0"/>
        <w:autoSpaceDE w:val="0"/>
        <w:autoSpaceDN w:val="0"/>
        <w:adjustRightInd w:val="0"/>
        <w:spacing w:after="0" w:line="240" w:lineRule="auto"/>
        <w:textAlignment w:val="baseline"/>
        <w:rPr>
          <w:rFonts w:eastAsia="Times New Roman"/>
          <w:sz w:val="24"/>
          <w:szCs w:val="24"/>
          <w:lang w:eastAsia="pt-BR"/>
        </w:rPr>
      </w:pPr>
    </w:p>
    <w:p>
      <w:pPr>
        <w:jc w:val="both"/>
        <w:rPr>
          <w:sz w:val="24"/>
          <w:szCs w:val="24"/>
        </w:rPr>
      </w:pPr>
      <w:r>
        <w:rPr>
          <w:rFonts w:hint="default"/>
          <w:b/>
          <w:bCs/>
          <w:sz w:val="24"/>
          <w:szCs w:val="24"/>
          <w:lang w:val="pt-BR"/>
        </w:rPr>
        <w:t>3</w:t>
      </w:r>
      <w:r>
        <w:rPr>
          <w:b/>
          <w:bCs/>
          <w:sz w:val="24"/>
          <w:szCs w:val="24"/>
        </w:rPr>
        <w:t>.1</w:t>
      </w:r>
      <w:r>
        <w:rPr>
          <w:sz w:val="24"/>
          <w:szCs w:val="24"/>
        </w:rPr>
        <w:t xml:space="preserve"> – Os itens licitados serão solicitados conforme a necessidade da Gerência através de requisição de serviço devidamente assinada, devendo a </w:t>
      </w:r>
      <w:r>
        <w:rPr>
          <w:iCs/>
          <w:sz w:val="24"/>
          <w:szCs w:val="24"/>
        </w:rPr>
        <w:t>Licitante Vencedora realizar com seus próprios meios, todos os serviços relacionados com o objeto desta licitação, de acordo com a solicitação detalhada na requisição.</w:t>
      </w:r>
    </w:p>
    <w:p>
      <w:pPr>
        <w:jc w:val="both"/>
        <w:rPr>
          <w:sz w:val="24"/>
          <w:szCs w:val="24"/>
        </w:rPr>
      </w:pPr>
      <w:r>
        <w:rPr>
          <w:rFonts w:hint="default"/>
          <w:b/>
          <w:bCs/>
          <w:sz w:val="24"/>
          <w:szCs w:val="24"/>
          <w:lang w:val="pt-BR"/>
        </w:rPr>
        <w:t>3</w:t>
      </w:r>
      <w:r>
        <w:rPr>
          <w:b/>
          <w:bCs/>
          <w:sz w:val="24"/>
          <w:szCs w:val="24"/>
        </w:rPr>
        <w:t>.2</w:t>
      </w:r>
      <w:r>
        <w:rPr>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pPr>
        <w:jc w:val="both"/>
        <w:rPr>
          <w:sz w:val="24"/>
          <w:szCs w:val="24"/>
        </w:rPr>
      </w:pPr>
      <w:r>
        <w:rPr>
          <w:rFonts w:hint="default"/>
          <w:b/>
          <w:bCs/>
          <w:sz w:val="24"/>
          <w:szCs w:val="24"/>
          <w:lang w:val="pt-BR"/>
        </w:rPr>
        <w:t>3</w:t>
      </w:r>
      <w:r>
        <w:rPr>
          <w:b/>
          <w:bCs/>
          <w:sz w:val="24"/>
          <w:szCs w:val="24"/>
        </w:rPr>
        <w:t>.3</w:t>
      </w:r>
      <w:r>
        <w:rPr>
          <w:sz w:val="24"/>
          <w:szCs w:val="24"/>
        </w:rPr>
        <w:t xml:space="preserve"> – A licitante vencedora ficará obrigada a refazer as suas expensas o serviço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iCs/>
          <w:sz w:val="24"/>
          <w:szCs w:val="24"/>
        </w:rPr>
      </w:pPr>
      <w:r>
        <w:rPr>
          <w:rFonts w:hint="default"/>
          <w:b/>
          <w:bCs/>
          <w:sz w:val="24"/>
          <w:szCs w:val="24"/>
          <w:lang w:val="pt-BR"/>
        </w:rPr>
        <w:t>3</w:t>
      </w:r>
      <w:r>
        <w:rPr>
          <w:b/>
          <w:bCs/>
          <w:sz w:val="24"/>
          <w:szCs w:val="24"/>
        </w:rPr>
        <w:t>.4</w:t>
      </w:r>
      <w:r>
        <w:rPr>
          <w:sz w:val="24"/>
          <w:szCs w:val="24"/>
        </w:rPr>
        <w:t xml:space="preserve"> – Independentemente da aceitação, a adjudicatária garantirá a qualidade dos serviços obrigando-se a refazer aquele que estiver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hint="default" w:eastAsia="Times New Roman"/>
          <w:iCs/>
          <w:sz w:val="24"/>
          <w:szCs w:val="24"/>
          <w:lang w:val="pt-BR"/>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Contratante</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87/2021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87/2021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087/2021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87/2021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087/2021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87/2021</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ENDEREÇO COMPLETO.</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sectPr>
      <w:pgSz w:w="11907" w:h="16840"/>
      <w:pgMar w:top="1536" w:right="1310"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7EFAD5"/>
    <w:multiLevelType w:val="singleLevel"/>
    <w:tmpl w:val="A27EFA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D4F"/>
    <w:rsid w:val="00571D4F"/>
    <w:rsid w:val="005A691A"/>
    <w:rsid w:val="00684941"/>
    <w:rsid w:val="08647365"/>
    <w:rsid w:val="0EFD0BC1"/>
    <w:rsid w:val="2B0E421E"/>
    <w:rsid w:val="630C417D"/>
    <w:rsid w:val="6A86005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16800</Words>
  <Characters>90722</Characters>
  <Lines>756</Lines>
  <Paragraphs>214</Paragraphs>
  <TotalTime>17</TotalTime>
  <ScaleCrop>false</ScaleCrop>
  <LinksUpToDate>false</LinksUpToDate>
  <CharactersWithSpaces>107308</CharactersWithSpaces>
  <Application>WPS Office_11.2.0.10196_F1E327BC-269C-435d-A152-05C5408002CA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2021-07-12T13:32:00Z</dcterms:created>
  <dc:creator>JAQUELINE MARIA GARCIA MASCIOLLI</dc:creator>
  <cp:lastModifiedBy>Usuario</cp:lastModifiedBy>
  <cp:lastPrinted>2021-07-13T11:32:00Z</cp:lastPrinted>
  <dcterms:modified xsi:type="dcterms:W3CDTF">2021-07-15T18:01:12Z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1046-11.2.0.10196</vt:lpwstr>
  </property>
</Properties>
</file>