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193/2021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108/2021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e 390 de 16 de julho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w:t>
      </w:r>
      <w:r>
        <w:rPr>
          <w:rFonts w:hint="default" w:eastAsia="Times New Roman"/>
          <w:b/>
          <w:bCs/>
          <w:snapToGrid w:val="0"/>
          <w:sz w:val="24"/>
          <w:szCs w:val="24"/>
          <w:highlight w:val="none"/>
          <w:lang w:val="en-US" w:eastAsia="pt-BR"/>
        </w:rPr>
        <w:t>01 de setembro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MEDICAMENTOS CONFORME TERMO DE REFERÊNCIA, PARA ATENDER SOLICITAÇÃO DA GERÊNCIA DE SAÚDE DO MUNICÍPIO DE NAVIRAÍ/MS. PEDIDO DE COMPRA Nº 091/2021.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01/09/2021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108/2021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01</w:t>
      </w:r>
      <w:r>
        <w:rPr>
          <w:rFonts w:eastAsia="Times New Roman"/>
          <w:b/>
          <w:sz w:val="24"/>
          <w:szCs w:val="24"/>
          <w:u w:val="single"/>
        </w:rPr>
        <w:t>/0</w:t>
      </w:r>
      <w:r>
        <w:rPr>
          <w:rFonts w:hint="default" w:eastAsia="Times New Roman"/>
          <w:b/>
          <w:sz w:val="24"/>
          <w:szCs w:val="24"/>
          <w:u w:val="single"/>
          <w:lang w:val="pt-BR"/>
        </w:rPr>
        <w:t>9</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108/2021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01</w:t>
      </w:r>
      <w:r>
        <w:rPr>
          <w:rFonts w:eastAsia="Times New Roman"/>
          <w:b/>
          <w:sz w:val="24"/>
          <w:szCs w:val="24"/>
          <w:u w:val="single"/>
        </w:rPr>
        <w:t>/0</w:t>
      </w:r>
      <w:r>
        <w:rPr>
          <w:rFonts w:hint="default" w:eastAsia="Times New Roman"/>
          <w:b/>
          <w:sz w:val="24"/>
          <w:szCs w:val="24"/>
          <w:u w:val="single"/>
          <w:lang w:val="pt-BR"/>
        </w:rPr>
        <w:t>9</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7.1</w:t>
      </w:r>
      <w:r>
        <w:rPr>
          <w:rFonts w:eastAsia="Times New Roman"/>
          <w:bCs/>
          <w:sz w:val="24"/>
          <w:szCs w:val="24"/>
        </w:rPr>
        <w:t xml:space="preserve"> 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I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Pr>
          <w:rFonts w:eastAsia="Times New Roman"/>
          <w:b/>
          <w:bCs/>
          <w:sz w:val="24"/>
          <w:szCs w:val="24"/>
        </w:rPr>
        <w:t>(contendo 13 dígitos)</w:t>
      </w:r>
      <w:r>
        <w:rPr>
          <w:rFonts w:eastAsia="Times New Roman"/>
          <w:bCs/>
          <w:sz w:val="24"/>
          <w:szCs w:val="24"/>
        </w:rPr>
        <w:t>, constando o preço de cada item, expresso em reais (R$), com até 03 (três) dígitos após a vírgula no valor unitário, em algarismos arábicos, conforme o formulário (planilha magnética) mencionado acima, devendo todas as folhas serem rubricadas;</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u w:val="single"/>
        </w:rPr>
      </w:pPr>
      <w:r>
        <w:rPr>
          <w:rFonts w:eastAsia="Times New Roman"/>
          <w:bCs/>
          <w:sz w:val="24"/>
          <w:szCs w:val="24"/>
        </w:rPr>
        <w:t xml:space="preserve">II- Descrição das características do produto deverá ser mantida como está no arquivo magnético anexo do processo, </w:t>
      </w:r>
      <w:r>
        <w:rPr>
          <w:rFonts w:eastAsia="Times New Roman"/>
          <w:b/>
          <w:bCs/>
          <w:sz w:val="24"/>
          <w:szCs w:val="24"/>
          <w:u w:val="single"/>
        </w:rPr>
        <w:t>informando a marca, número de registro da ANVISA (contendo 13 dígitos);</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III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IV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PARAGRAFO ÚNICO - A proposta de preço deverá ser preenchida em arquivo magnético disponibilizado. O descumprimento dessa condição importará em desclassificação da empresa.</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7.2</w:t>
      </w:r>
      <w:r>
        <w:rPr>
          <w:rFonts w:eastAsia="Times New Roman"/>
          <w:bCs/>
          <w:sz w:val="24"/>
          <w:szCs w:val="24"/>
        </w:rPr>
        <w:t xml:space="preserve"> Não poderá haver 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u w:val="single"/>
        </w:rPr>
      </w:pPr>
      <w:r>
        <w:rPr>
          <w:rFonts w:eastAsia="Times New Roman"/>
          <w:b/>
          <w:bCs/>
          <w:sz w:val="24"/>
          <w:szCs w:val="24"/>
        </w:rPr>
        <w:t>7.3</w:t>
      </w:r>
      <w:r>
        <w:rPr>
          <w:rFonts w:eastAsia="Times New Roman"/>
          <w:bCs/>
          <w:sz w:val="24"/>
          <w:szCs w:val="24"/>
        </w:rPr>
        <w:t xml:space="preserve"> Os preços propostos serão de exclusiva responsabilidade da licitante, bem como o as informações oferecidas quanto ao número de registro da ANVISA, NÃO lhe assistindo o direito de pleitear qualquer alteração, </w:t>
      </w:r>
      <w:r>
        <w:rPr>
          <w:rFonts w:eastAsia="Times New Roman"/>
          <w:b/>
          <w:bCs/>
          <w:sz w:val="24"/>
          <w:szCs w:val="24"/>
          <w:u w:val="single"/>
        </w:rPr>
        <w:t>sob alegação de erro, omissão ou qualquer outro pretexto.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7.4</w:t>
      </w:r>
      <w:r>
        <w:rPr>
          <w:rFonts w:eastAsia="Times New Roman"/>
          <w:bCs/>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highlight w:val="red"/>
        </w:rPr>
        <w:t>PARAGRAFO ÚNICO</w:t>
      </w:r>
      <w:r>
        <w:rPr>
          <w:rFonts w:eastAsia="Times New Roman"/>
          <w:b/>
          <w:bCs/>
          <w:sz w:val="24"/>
          <w:szCs w:val="24"/>
        </w:rPr>
        <w:t xml:space="preserve"> – Fica dispensado, o Certificado de Boas Práticas de Fabricação, conforme Portaria MS n° 2.894, de 12 de setembro de 2018.</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7.5</w:t>
      </w:r>
      <w:r>
        <w:rPr>
          <w:rFonts w:eastAsia="Times New Roman"/>
          <w:bCs/>
          <w:sz w:val="24"/>
          <w:szCs w:val="24"/>
        </w:rPr>
        <w:t xml:space="preserve"> A licitante deverá apresentar dentro do envelope de proposta de preços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a)</w:t>
      </w:r>
      <w:r>
        <w:rPr>
          <w:rFonts w:eastAsia="Times New Roman"/>
          <w:bCs/>
          <w:sz w:val="24"/>
          <w:szCs w:val="24"/>
        </w:rPr>
        <w:tab/>
      </w:r>
      <w:r>
        <w:rPr>
          <w:rFonts w:eastAsia="Times New Roman"/>
          <w:b/>
          <w:bCs/>
          <w:sz w:val="24"/>
          <w:szCs w:val="24"/>
        </w:rPr>
        <w:t>FORMULÁRIO DE PROPOSTA DEVIDAMENTE PREENCHIDO - A PLANILHA MAGNÉTICA PODERÁ SER IMPRESSA ou OUTRO FORMULÁRIO DESDE QUE CONSTE TODAS AS INFORMAÇÕES DO ANEXO II DESTE INSTRUMENTO.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b)</w:t>
      </w:r>
      <w:r>
        <w:rPr>
          <w:rFonts w:eastAsia="Times New Roman"/>
          <w:bCs/>
          <w:sz w:val="24"/>
          <w:szCs w:val="24"/>
        </w:rPr>
        <w:tab/>
      </w:r>
      <w:r>
        <w:rPr>
          <w:rFonts w:eastAsia="Times New Roman"/>
          <w:bCs/>
          <w:sz w:val="24"/>
          <w:szCs w:val="24"/>
        </w:rPr>
        <w:t xml:space="preserve">Pen Drive – A Planilha magnética deverá ser entregue em pelo menos 02 (dois) Pen Drive - identificados de maneira adequada e que não ofereçam risco a leitura. Caso o 1º Pen Drive apresentar qualquer erro de leitura, a mesa tentará que abrir o 2º Pen Drive. Caso a empresa não apresente o 2º Pen Drive, assumirá o risco da falta de leitura. Não será recebida planilha magnética por qualquer outro mecanismo. </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7.6</w:t>
      </w:r>
      <w:r>
        <w:rPr>
          <w:rFonts w:eastAsia="Times New Roman"/>
          <w:bCs/>
          <w:sz w:val="24"/>
          <w:szCs w:val="24"/>
        </w:rPr>
        <w:t xml:space="preserve"> Serão desclassificadas as propostas que não atendam às exigências deste ato convocatório, </w:t>
      </w:r>
      <w:r>
        <w:rPr>
          <w:rFonts w:eastAsia="Times New Roman"/>
          <w:b/>
          <w:bCs/>
          <w:sz w:val="24"/>
          <w:szCs w:val="24"/>
        </w:rPr>
        <w:t>inclusive</w:t>
      </w:r>
      <w:r>
        <w:rPr>
          <w:rFonts w:eastAsia="Times New Roman"/>
          <w:bCs/>
          <w:sz w:val="24"/>
          <w:szCs w:val="24"/>
        </w:rPr>
        <w:t xml:space="preserve"> aquelas que </w:t>
      </w:r>
      <w:r>
        <w:rPr>
          <w:rFonts w:eastAsia="Times New Roman"/>
          <w:b/>
          <w:bCs/>
          <w:sz w:val="24"/>
          <w:szCs w:val="24"/>
          <w:u w:val="single"/>
        </w:rPr>
        <w:t>deixarem de apresentar a planilha magnética (Pen Drive).</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7.7</w:t>
      </w:r>
      <w:r>
        <w:rPr>
          <w:rFonts w:eastAsia="Times New Roman"/>
          <w:bCs/>
          <w:sz w:val="24"/>
          <w:szCs w:val="24"/>
        </w:rPr>
        <w:t xml:space="preserve"> A proposta deverá limitar-se ao objeto desta licitação, sendo proibidas quaisquer alterações quanto ao descritivo, quantitativo ou informações solicitadas no formulário (planilha magnética).</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7.8</w:t>
      </w:r>
      <w:r>
        <w:rPr>
          <w:rFonts w:eastAsia="Times New Roman"/>
          <w:bCs/>
          <w:sz w:val="24"/>
          <w:szCs w:val="24"/>
        </w:rPr>
        <w:t xml:space="preserve"> A proposta terá validade obrigatória de 60 (sessenta) dias, a contar da data da abertura dos envelopes, conforme estabelecido em Lei. </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7.9</w:t>
      </w:r>
      <w:r>
        <w:rPr>
          <w:rFonts w:eastAsia="Times New Roman"/>
          <w:bCs/>
          <w:sz w:val="24"/>
          <w:szCs w:val="24"/>
        </w:rPr>
        <w:t xml:space="preserve"> </w:t>
      </w:r>
      <w:r>
        <w:rPr>
          <w:rFonts w:eastAsia="Times New Roman"/>
          <w:b/>
          <w:bCs/>
          <w:sz w:val="24"/>
          <w:szCs w:val="24"/>
        </w:rPr>
        <w:t>A proposta NÃO poderá ser alterada nos quantitativos dos itens bem como na especificação dos mesmos, sendo que quaisquer alterações implicarão em erro de leitura do Pen Drive, valendo apenas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sz w:val="22"/>
          <w:szCs w:val="22"/>
        </w:rPr>
      </w:pPr>
      <w:r>
        <w:rPr>
          <w:rFonts w:eastAsia="Times New Roman"/>
          <w:b/>
          <w:bCs/>
          <w:sz w:val="24"/>
          <w:szCs w:val="24"/>
        </w:rPr>
        <w:t>7.10</w:t>
      </w:r>
      <w:r>
        <w:rPr>
          <w:rFonts w:eastAsia="Times New Roman"/>
          <w:bCs/>
          <w:sz w:val="24"/>
          <w:szCs w:val="24"/>
        </w:rPr>
        <w:t xml:space="preserve"> A apresentação da proposta, implica em submissão a todas as condições estipuladas neste edital e seus anexos, sem prejuízo da estrita observância das normas contidas na legislação federal mencionada no preâmbulo deste edital</w:t>
      </w:r>
    </w:p>
    <w:p>
      <w:pPr>
        <w:overflowPunct w:val="0"/>
        <w:autoSpaceDE w:val="0"/>
        <w:autoSpaceDN w:val="0"/>
        <w:adjustRightInd w:val="0"/>
        <w:spacing w:after="0" w:line="240" w:lineRule="auto"/>
        <w:jc w:val="both"/>
        <w:textAlignment w:val="baseline"/>
        <w:rPr>
          <w:rFonts w:eastAsia="Times New Roman"/>
          <w:sz w:val="22"/>
          <w:szCs w:val="22"/>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R$ 5.147.568,7437 (cinco milhões, cento e quarenta e sete mil quinhentos e sessenta e oito reais e</w:t>
      </w:r>
      <w:r>
        <w:rPr>
          <w:rFonts w:hint="default" w:eastAsia="Times New Roman"/>
          <w:b/>
          <w:bCs/>
          <w:iCs/>
          <w:sz w:val="24"/>
          <w:szCs w:val="24"/>
          <w:lang w:val="pt-BR"/>
        </w:rPr>
        <w:t xml:space="preserve"> sete mil quatrocentos e trinta e sete milésimos</w:t>
      </w:r>
      <w:r>
        <w:rPr>
          <w:rFonts w:eastAsia="Times New Roman"/>
          <w:b/>
          <w:bCs/>
          <w:iCs/>
          <w:sz w:val="24"/>
          <w:szCs w:val="24"/>
        </w:rPr>
        <w:t>).</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8.2.8</w:t>
      </w:r>
      <w:r>
        <w:rPr>
          <w:rFonts w:eastAsia="Times New Roman"/>
          <w:sz w:val="24"/>
          <w:szCs w:val="24"/>
        </w:rPr>
        <w:t xml:space="preserve"> Apresentar </w:t>
      </w:r>
      <w:r>
        <w:rPr>
          <w:rFonts w:eastAsia="Times New Roman"/>
          <w:bCs/>
          <w:sz w:val="24"/>
          <w:szCs w:val="24"/>
        </w:rPr>
        <w:t>Alvará de licença sanitária, expedido pela unidade competente, da esfera Estadual ou Municipal, da sede da empresa licitante, observada a sua validade;</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8.2.9</w:t>
      </w:r>
      <w:r>
        <w:rPr>
          <w:rFonts w:eastAsia="Times New Roman"/>
          <w:bCs/>
          <w:sz w:val="24"/>
          <w:szCs w:val="24"/>
        </w:rPr>
        <w:tab/>
      </w:r>
      <w:r>
        <w:rPr>
          <w:rFonts w:eastAsia="Times New Roman"/>
          <w:bCs/>
          <w:sz w:val="24"/>
          <w:szCs w:val="24"/>
        </w:rPr>
        <w:t xml:space="preserve">Apresentar Autorização para Funcionamento da Empresa (AFE), expedida pela Agencia Nacional de Vigilância Sanitária do Ministério da Saúde (forma eletrônica ou certificado), compatível com o objeto licitado, </w:t>
      </w:r>
      <w:r>
        <w:rPr>
          <w:rFonts w:eastAsia="Times New Roman"/>
          <w:b/>
          <w:bCs/>
          <w:sz w:val="24"/>
          <w:szCs w:val="24"/>
          <w:u w:val="single"/>
        </w:rPr>
        <w:t>acompanhado</w:t>
      </w:r>
      <w:r>
        <w:rPr>
          <w:rFonts w:eastAsia="Times New Roman"/>
          <w:bCs/>
          <w:sz w:val="24"/>
          <w:szCs w:val="24"/>
        </w:rPr>
        <w:t xml:space="preserve"> de sua publicação no Diário Oficial da União, observada a sua validade; No caso da licitante ser fabricante está dispensado à apresentação da publicação, sendo necessária apresentação do documento na (forma eletrônica ou certificado) Para as renovações deverá ser observando a Resolução ANVISA/DC Nº 16 de 01/04/2014;</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8.2.10</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8.2.11</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sz w:val="24"/>
          <w:szCs w:val="24"/>
        </w:rPr>
        <w:t>8.2.12</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9.1</w:t>
      </w:r>
      <w:r>
        <w:rPr>
          <w:rFonts w:eastAsia="Times New Roman"/>
          <w:bCs/>
          <w:sz w:val="24"/>
          <w:szCs w:val="24"/>
        </w:rPr>
        <w:t xml:space="preserve"> O julgamento da licitação será dividido em duas etapas: 1ª etapa Classificação das propostas e 2ª etapa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9.1.1.1</w:t>
      </w:r>
      <w:r>
        <w:rPr>
          <w:rFonts w:eastAsia="Times New Roman"/>
          <w:bCs/>
          <w:sz w:val="24"/>
          <w:szCs w:val="24"/>
        </w:rPr>
        <w:t xml:space="preserve"> - No ato do julgamento da proposta, será utilizada a tabela </w:t>
      </w:r>
      <w:r>
        <w:rPr>
          <w:rFonts w:eastAsia="Times New Roman"/>
          <w:b/>
          <w:bCs/>
          <w:sz w:val="24"/>
          <w:szCs w:val="24"/>
        </w:rPr>
        <w:t>CMED (Câmara de</w:t>
      </w:r>
      <w:r>
        <w:rPr>
          <w:rFonts w:eastAsia="Times New Roman"/>
          <w:bCs/>
          <w:sz w:val="24"/>
          <w:szCs w:val="24"/>
        </w:rPr>
        <w:t xml:space="preserve"> </w:t>
      </w:r>
      <w:r>
        <w:rPr>
          <w:rFonts w:eastAsia="Times New Roman"/>
          <w:b/>
          <w:bCs/>
          <w:sz w:val="24"/>
          <w:szCs w:val="24"/>
        </w:rPr>
        <w:t>Regulação do Mercado de Medicamentos). – venda ao governo</w:t>
      </w:r>
      <w:r>
        <w:rPr>
          <w:rFonts w:eastAsia="Times New Roman"/>
          <w:bCs/>
          <w:sz w:val="24"/>
          <w:szCs w:val="24"/>
        </w:rPr>
        <w:t>, como critério de classificação definitiva do item, conforme Acórdão nº. 3016/2012-TCU - Plenário, os medicamentos DEVEM atender aos preços praticados pela tabela CMED e pelo preço médio.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9.1.1.1.1</w:t>
      </w:r>
      <w:r>
        <w:rPr>
          <w:rFonts w:eastAsia="Times New Roman"/>
          <w:bCs/>
          <w:sz w:val="24"/>
          <w:szCs w:val="24"/>
        </w:rPr>
        <w:t xml:space="preserve"> Durante a fase de lance a equipe de apoio do processo, ira proceder à verificação da regularidade dos REGISTROS DA ANVISA (13 treze dígitos), por meio de consulta ao site da ANVISA, através dos números informados na proposta. A verificação dos valores da Tabela CMED também se dará a partir dos números indicados na proposta.</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3"/>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Para análise do REGISTRO DA ANVISA, será observado a validade, a compatibilidade do objeto licitado e o objeto oferecido pela licitante e concordância entre a marca proposta e o registro apresentado;</w:t>
      </w:r>
    </w:p>
    <w:p>
      <w:pPr>
        <w:numPr>
          <w:ilvl w:val="0"/>
          <w:numId w:val="3"/>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Para análise da Tabela CMED, será verificado se o valor ofertando pela licitante e igual ou menor que o valor indicado pela ANVISA para comercialização para entes públicos, sendo respeitados os percentuais descritos na tabela, sendo necessário seguir as orientações indicadas na própria tabela.</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Parágrafo ÚNICO</w:t>
      </w:r>
      <w:r>
        <w:rPr>
          <w:rFonts w:eastAsia="Times New Roman"/>
          <w:bCs/>
          <w:sz w:val="24"/>
          <w:szCs w:val="24"/>
        </w:rPr>
        <w:t xml:space="preserve"> – Caso os números indicados no campo: número de registro na ANVISA esteja errado impossibilitando a consulta para a verificação da regularidade, OS ITENS SERÃO DESCLASSIFICADOS. Os documentos que, demostrem regularidades ou irregularidades será arquivada no processo, no formato de mídia, ou na forma de impressão, quando o Pregoeiro (a) julgue necessário.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9.1.2</w:t>
      </w:r>
      <w:r>
        <w:rPr>
          <w:rFonts w:eastAsia="Times New Roman"/>
          <w:bCs/>
          <w:sz w:val="24"/>
          <w:szCs w:val="24"/>
        </w:rPr>
        <w:t xml:space="preserve"> – 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9.1.2.1</w:t>
      </w:r>
      <w:r>
        <w:rPr>
          <w:rFonts w:eastAsia="Times New Roman"/>
          <w:bCs/>
          <w:sz w:val="24"/>
          <w:szCs w:val="24"/>
        </w:rPr>
        <w:t xml:space="preserve"> – 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9.1.2</w:t>
      </w:r>
      <w:r>
        <w:rPr>
          <w:rFonts w:eastAsia="Times New Roman"/>
          <w:bCs/>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9.2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9.2.1</w:t>
      </w:r>
      <w:r>
        <w:rPr>
          <w:rFonts w:eastAsia="Times New Roman"/>
          <w:bCs/>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9.2.2</w:t>
      </w:r>
      <w:r>
        <w:rPr>
          <w:rFonts w:eastAsia="Times New Roman"/>
          <w:bCs/>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9.2.3</w:t>
      </w:r>
      <w:r>
        <w:rPr>
          <w:rFonts w:eastAsia="Times New Roman"/>
          <w:bCs/>
          <w:sz w:val="24"/>
          <w:szCs w:val="24"/>
        </w:rPr>
        <w:t xml:space="preserve"> O (a) Pregoeiro (a) fará a ordenação dos valores das propostas, em ordem crescente, de todas as licitantes.</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9.2.4</w:t>
      </w:r>
      <w:r>
        <w:rPr>
          <w:rFonts w:eastAsia="Times New Roman"/>
          <w:bCs/>
          <w:sz w:val="24"/>
          <w:szCs w:val="24"/>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9.2.4.1</w:t>
      </w:r>
      <w:r>
        <w:rPr>
          <w:rFonts w:eastAsia="Times New Roman"/>
          <w:bCs/>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9.2.5</w:t>
      </w:r>
      <w:r>
        <w:rPr>
          <w:rFonts w:eastAsia="Times New Roman"/>
          <w:bCs/>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9.2.6</w:t>
      </w:r>
      <w:r>
        <w:rPr>
          <w:rFonts w:eastAsia="Times New Roman"/>
          <w:bCs/>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9.2.7</w:t>
      </w:r>
      <w:r>
        <w:rPr>
          <w:rFonts w:eastAsia="Times New Roman"/>
          <w:bCs/>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9.2.8</w:t>
      </w:r>
      <w:r>
        <w:rPr>
          <w:rFonts w:eastAsia="Times New Roman"/>
          <w:bCs/>
          <w:sz w:val="24"/>
          <w:szCs w:val="24"/>
        </w:rPr>
        <w:t xml:space="preserve"> 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9.2.9</w:t>
      </w:r>
      <w:r>
        <w:rPr>
          <w:rFonts w:eastAsia="Times New Roman"/>
          <w:bCs/>
          <w:sz w:val="24"/>
          <w:szCs w:val="24"/>
        </w:rPr>
        <w:t xml:space="preserve"> Caso não mais se realizem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9.2.10</w:t>
      </w:r>
      <w:r>
        <w:rPr>
          <w:rFonts w:eastAsia="Times New Roman"/>
          <w:bCs/>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autoSpaceDN w:val="0"/>
        <w:spacing w:after="0" w:line="240" w:lineRule="auto"/>
        <w:jc w:val="both"/>
        <w:textAlignment w:val="baseline"/>
        <w:rPr>
          <w:rFonts w:eastAsia="Times New Roman"/>
          <w:bCs/>
          <w:sz w:val="24"/>
          <w:szCs w:val="24"/>
        </w:rPr>
      </w:pPr>
    </w:p>
    <w:p>
      <w:pPr>
        <w:autoSpaceDN w:val="0"/>
        <w:spacing w:after="0" w:line="240" w:lineRule="auto"/>
        <w:jc w:val="both"/>
        <w:textAlignment w:val="baseline"/>
        <w:rPr>
          <w:rFonts w:eastAsia="Times New Roman"/>
          <w:bCs/>
          <w:sz w:val="24"/>
          <w:szCs w:val="24"/>
        </w:rPr>
      </w:pPr>
      <w:r>
        <w:rPr>
          <w:rFonts w:eastAsia="Times New Roman"/>
          <w:b/>
          <w:bCs/>
          <w:sz w:val="24"/>
          <w:szCs w:val="24"/>
        </w:rPr>
        <w:t>9.2.11</w:t>
      </w:r>
      <w:r>
        <w:rPr>
          <w:rFonts w:eastAsia="Times New Roman"/>
          <w:bCs/>
          <w:sz w:val="24"/>
          <w:szCs w:val="24"/>
        </w:rPr>
        <w:t xml:space="preserve"> Caso não se efetive nenhum lance verbal, será verificado a compatibilidade entre a proposta escrita de menor preço e o valor estimado para a contratação.</w:t>
      </w:r>
    </w:p>
    <w:p>
      <w:pPr>
        <w:autoSpaceDN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9.2.12</w:t>
      </w:r>
      <w:r>
        <w:rPr>
          <w:rFonts w:eastAsia="Times New Roman"/>
          <w:bCs/>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9.2.13</w:t>
      </w:r>
      <w:r>
        <w:rPr>
          <w:rFonts w:eastAsia="Times New Roman"/>
          <w:bCs/>
          <w:sz w:val="24"/>
          <w:szCs w:val="24"/>
        </w:rPr>
        <w:t xml:space="preserve"> Se a oferta não for aceitável, o (a) Pregoeiro (a) examinará a oferta subseqüente,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9.2.14</w:t>
      </w:r>
      <w:r>
        <w:rPr>
          <w:rFonts w:eastAsia="Times New Roman"/>
          <w:bCs/>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9.2.15</w:t>
      </w:r>
      <w:r>
        <w:rPr>
          <w:rFonts w:eastAsia="Times New Roman"/>
          <w:bCs/>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9.2.16</w:t>
      </w:r>
      <w:r>
        <w:rPr>
          <w:rFonts w:eastAsia="Times New Roman"/>
          <w:bCs/>
          <w:sz w:val="24"/>
          <w:szCs w:val="24"/>
        </w:rPr>
        <w:t xml:space="preserve"> Não poderá haver desistência dos lances ofertados, sujeitando-se a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bCs/>
          <w:sz w:val="24"/>
          <w:szCs w:val="24"/>
        </w:rPr>
        <w:t>9.2.17</w:t>
      </w:r>
      <w:r>
        <w:rPr>
          <w:rFonts w:eastAsia="Times New Roman"/>
          <w:bCs/>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bCs/>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7h às </w:t>
      </w:r>
      <w:r>
        <w:rPr>
          <w:rFonts w:hint="default" w:eastAsia="Times New Roman"/>
          <w:sz w:val="24"/>
          <w:szCs w:val="24"/>
          <w:lang w:val="en-US" w:eastAsia="pt-BR"/>
        </w:rPr>
        <w:t xml:space="preserve">11h das </w:t>
      </w:r>
      <w:r>
        <w:rPr>
          <w:rFonts w:eastAsia="Times New Roman"/>
          <w:sz w:val="24"/>
          <w:szCs w:val="24"/>
          <w:lang w:eastAsia="pt-BR"/>
        </w:rPr>
        <w:t>13h</w:t>
      </w:r>
      <w:r>
        <w:rPr>
          <w:rFonts w:hint="default" w:eastAsia="Times New Roman"/>
          <w:sz w:val="24"/>
          <w:szCs w:val="24"/>
          <w:lang w:val="en-US" w:eastAsia="pt-BR"/>
        </w:rPr>
        <w:t xml:space="preserve"> às 17h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b/>
          <w:bCs/>
          <w:sz w:val="24"/>
          <w:szCs w:val="24"/>
          <w:lang w:eastAsia="pt-BR"/>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deverá ser entregue no Almoxarifado Central da Saúde, pelo prazo </w:t>
      </w:r>
      <w:r>
        <w:rPr>
          <w:rFonts w:eastAsia="Times New Roman"/>
          <w:b/>
          <w:sz w:val="24"/>
          <w:szCs w:val="24"/>
        </w:rPr>
        <w:t>estabelecido no Termo de referência</w:t>
      </w:r>
      <w:r>
        <w:rPr>
          <w:rFonts w:eastAsia="Times New Roman"/>
          <w:sz w:val="24"/>
          <w:szCs w:val="24"/>
        </w:rPr>
        <w:t xml:space="preserve"> de cada medicamento o prazo passa a contar do recebimento da requisição devidamente assinada.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14.2</w:t>
      </w:r>
      <w:r>
        <w:rPr>
          <w:rFonts w:eastAsia="Times New Roman"/>
          <w:iCs/>
          <w:sz w:val="24"/>
          <w:szCs w:val="24"/>
        </w:rPr>
        <w:t xml:space="preserve"> – Os medicamentos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a) Data de fabricação e data de vencimento;</w:t>
      </w: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b) Número de registro emitido pela ANVISA;</w:t>
      </w: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c) No caso de medicamentos genéricos deverão constar “MEDICAMENTO GENÉRICO” dentro de uma tarja amarela e impresso “Lei nº 9.787/99”.</w:t>
      </w: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d) Constar a expressão “PROIBIDA A VENDA NO COMÉRCIO”.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14.3</w:t>
      </w:r>
      <w:r>
        <w:rPr>
          <w:rFonts w:eastAsia="Times New Roman"/>
          <w:iCs/>
          <w:sz w:val="24"/>
          <w:szCs w:val="24"/>
        </w:rPr>
        <w:t xml:space="preserve"> – O prazo de validade dos medicamentos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14.4</w:t>
      </w:r>
      <w:r>
        <w:rPr>
          <w:rFonts w:eastAsia="Times New Roman"/>
          <w:iCs/>
          <w:sz w:val="24"/>
          <w:szCs w:val="24"/>
        </w:rPr>
        <w:t xml:space="preserve"> – A licitante vencedora garantirá a qualidade dos medicamentos pelo prazo estabelecido pelo fabricante.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14.5</w:t>
      </w:r>
      <w:r>
        <w:rPr>
          <w:rFonts w:eastAsia="Times New Roman"/>
          <w:iCs/>
          <w:sz w:val="24"/>
          <w:szCs w:val="24"/>
        </w:rPr>
        <w:t xml:space="preserve"> – Os medicamentos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14.6</w:t>
      </w:r>
      <w:r>
        <w:rPr>
          <w:rFonts w:eastAsia="Times New Roman"/>
          <w:iCs/>
          <w:sz w:val="24"/>
          <w:szCs w:val="24"/>
        </w:rPr>
        <w:t xml:space="preserve"> – A licitante vencedora, sujeitar-se-á a mais ampla e irrestrita fiscalização por parte da Administração Municipal, encarregada de acompanhar a entrega dos medicamentos prestando esclarecimento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14.7</w:t>
      </w:r>
      <w:r>
        <w:rPr>
          <w:rFonts w:eastAsia="Times New Roman"/>
          <w:iCs/>
          <w:sz w:val="24"/>
          <w:szCs w:val="24"/>
        </w:rPr>
        <w:t xml:space="preserve"> – A licitante vencedora ficará obrigada a trocar as suas expensas o medicamento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14.8</w:t>
      </w:r>
      <w:r>
        <w:rPr>
          <w:rFonts w:eastAsia="Times New Roman"/>
          <w:iCs/>
          <w:sz w:val="24"/>
          <w:szCs w:val="24"/>
        </w:rPr>
        <w:t xml:space="preserve"> – Independentemente da aceitação, a adjudicatária garantirá a qualidade dos medicamentos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14.9</w:t>
      </w:r>
      <w:r>
        <w:rPr>
          <w:rFonts w:eastAsia="Times New Roman"/>
          <w:iCs/>
          <w:sz w:val="24"/>
          <w:szCs w:val="24"/>
        </w:rPr>
        <w:t xml:space="preserve"> - A empresa contratada deverá fazer a reposição dos itens que não preencham as especificações, no prazo constante no Termo de Referencia a contar da data de devolução, sendo que em caso de não aceitação dos produtos, a devolução (frete) será por conta da contratada.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0</w:t>
      </w:r>
      <w:bookmarkStart w:id="0" w:name="_GoBack"/>
      <w:bookmarkEnd w:id="0"/>
      <w:r>
        <w:rPr>
          <w:rFonts w:hint="default" w:eastAsia="Times New Roman"/>
          <w:b/>
          <w:sz w:val="24"/>
          <w:szCs w:val="24"/>
          <w:lang w:val="pt-BR"/>
        </w:rPr>
        <w:t>9 de agosto de 2021.</w:t>
      </w:r>
    </w:p>
    <w:p>
      <w:pPr>
        <w:tabs>
          <w:tab w:val="left" w:pos="-1800"/>
        </w:tabs>
        <w:overflowPunct w:val="0"/>
        <w:autoSpaceDE w:val="0"/>
        <w:autoSpaceDN w:val="0"/>
        <w:adjustRightInd w:val="0"/>
        <w:spacing w:after="0" w:line="240" w:lineRule="auto"/>
        <w:ind w:left="284"/>
        <w:jc w:val="center"/>
        <w:textAlignment w:val="baseline"/>
        <w:rPr>
          <w:rFonts w:hint="default" w:eastAsia="Times New Roman"/>
          <w:b/>
          <w:bCs/>
          <w:color w:val="000000"/>
          <w:sz w:val="24"/>
          <w:szCs w:val="24"/>
          <w:lang w:val="pt-BR"/>
        </w:rPr>
      </w:pPr>
    </w:p>
    <w:p>
      <w:pPr>
        <w:tabs>
          <w:tab w:val="left" w:pos="-1800"/>
        </w:tabs>
        <w:overflowPunct w:val="0"/>
        <w:autoSpaceDE w:val="0"/>
        <w:autoSpaceDN w:val="0"/>
        <w:adjustRightInd w:val="0"/>
        <w:spacing w:after="0" w:line="240" w:lineRule="auto"/>
        <w:ind w:left="284"/>
        <w:jc w:val="center"/>
        <w:textAlignment w:val="baseline"/>
        <w:rPr>
          <w:rFonts w:hint="default" w:eastAsia="Times New Roman"/>
          <w:b/>
          <w:bCs/>
          <w:color w:val="000000"/>
          <w:sz w:val="24"/>
          <w:szCs w:val="24"/>
          <w:lang w:val="pt-BR"/>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5213350" cy="629285"/>
            <wp:effectExtent l="0" t="0" r="6350" b="1841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213350" cy="629285"/>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MEDICAMENTOS CONFORME TERMO DE REFERÊNCIA, PARA ATENDER SOLICITAÇÃO DA GERÊNCIA DE SAÚDE DO MUNICÍPIO DE NAVIRAÍ/MS. PEDIDO DE COMPRA Nº 091/2021.</w:t>
      </w:r>
    </w:p>
    <w:p>
      <w:pPr>
        <w:overflowPunct w:val="0"/>
        <w:autoSpaceDE w:val="0"/>
        <w:autoSpaceDN w:val="0"/>
        <w:adjustRightInd w:val="0"/>
        <w:spacing w:after="0" w:line="240" w:lineRule="auto"/>
        <w:jc w:val="both"/>
        <w:textAlignment w:val="baseline"/>
        <w:rPr>
          <w:rFonts w:eastAsia="Times New Roman"/>
          <w:b/>
          <w:b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ADRENOPLASMA 500ML - INJETÁVEL - GELATINA + ASSOCIAÇÕES.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AMPICILINA 1G - BIODISPONIBILIDADE E BIOEQUIVALÊNICIA, ANTIBIÓTICO PENCILÂNICOS, CEFALOSPORÂNICOS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CIMETIDINA 300MG 2ML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TETRACAÍNA 1%, CLORIDRATO FR FENILEFRINA 0,1% 10ML SOLUÇÃO OFTALMICA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ETILEFRINA 10MG/ML 1ML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TRAMADOL 100MG 2ML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DOPAMINA 5MG/ML 10ML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CLORANFENICOL 1G - COM TESTE DE BIODISPONIBILIDADE E BIOEQUIVALÊNICIA, ANTIBIÓTICO PENICILÂNICO, CEFALOSPORÂNICO - INJETAVEL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CEFTAZIDIMA 1G - BIODISPONIBILIDADE E BIOEQUIVALÊNCIA, ANTIBIÓTICO PENCILÂNICOS, CEFALOSPORÂNICOS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CITRATO DE FENTANILA 10ML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DICLOFENACO 15MG/ML 20ML GOTAS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DIMENIDRATO, CLORIDRATO DE PIRIDOXINA IM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DIMENIDRATO, CLORIDRATO DE PIRIDOXINA, GLICOSE, FRUTOSE EV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GENTAMICINA 80MG 2ML - QUE TENHA O TESTE DE BIODISPONIBILIDADE E BIOEQUIVALÊNCIA, ANTIBIÓTICO NÃO PENICILÂNICO, NÃO CEFALOSPORÂNICO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GLICOSE 50% 10 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HEPARINA SÓDICA 5000UI/ML 0,25ML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HALOPERIDOL 1ML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IMUNOGLOBULINA ANTIRH 2ML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METILERGOMETRINA 0,2MG/ML 1ML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MIDAZOLAN 5MG/3ML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MIDAZOLAN 15MG - CONTROLE ESPECIAL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PENICILINA G POTÁSSICA 5.000.000UI - ANTIBIÓTICO PENICILÂNICO, CEFALOSPORÂNICO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MAGNÉSIO 50% 10ML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TERBUTALINA 0,5MG/ML 1ML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SACCHAROMYCES CEREVISIAE 100 MILHÕES/ML 5ML ADULTO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VANCOMICINA 500MG - QUE TENHA O TESTE DE BIODISPONIBILIDADE E BIOEQUIVALÊNCIA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BECLOMETASONA SOLUÇÃO INALANTE NASAL - 50 MCG - COM 130 DOSES/LIQUIDO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ERITROMICINA 500MG - ANTIBIÓTICO NÃO PENICILÂNICOS, NÃO CEFALOSPORÂNICOS/SÓLIDO.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TIABENDAZOL SUSPENSÃO ORAL 250MG/5ML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CLORPROPAMIDA 250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FLUORESCEINA SODICA 1% SOLUÇÃO OFTALMICA ESTERIL  - COLÍRIO. 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MALEATO DE TIMOLOL 0,5% - FRASCO 5 ML SOLUÇÃO OFTALMICA/ 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DEXAMETASONA 0,5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CIMETIDINA 200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MEBENDAZOL 100MG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SALBUTAMOL 2MG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DIVALPROATO DE SÓDIO 250MG - CONTROLE ESPECIAL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LIDOCAÍNA 2% COM VASO, FRASCO COM 20 ML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PETIDINA 100MG/2ML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AMICACINA 100MG- ANTIBIÓTICO NÃO PENICILÂNICOS, NÃO CEFALOSPORÂNICOS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BITARTARATO DE METARAMINOL 10MG/ML 1ML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ROCURONIO 50MG 5ML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FENILEFRINA 10% 5ML SOL. OFTALMICA ESTERIL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CITRATO DE FENTANILA 2ML EM  ESTOJOS  INDIVIDUAIS   E   ESTERELIZADOS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HIDRALAZINA 20MG/ML 1 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DROPERIDOL 2,5MG/ML 1ML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GLUCONATO DE CALCIO 10% 10ML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ISOFLURANO 240ML - CONTROLE ESPECIAL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MIDAZOLAN 2MG/ML 10ML - CONTROLE ESPECIAL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MONONITRATO DE ISOSSORBIDA 10MG/ML 1ML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SEVOFLURANO 250ML - CONTROLE ESPECIAL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AMINOFILINA 24MG/ML 10 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ATRACÚRIO 10MG/ML 2,5ML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ATRACÚRIO 10MG/ML 5ML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BICARBONATO DE SÓDIO 8%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DESLANOSIDO 0,2MG/ML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GENTAMICINA 40MG 1ML - BIODISPONIBILIDADE E BIOEQUIVALÊNCIA, ANTIBIÓTICO NÃO PENCILÂNICOS, NÃO CEFALOSPORÂNICOS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INIBINA 5MG/ML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PROPOFOL 10MG/ML 10ML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MAGNÉSIO 10% 10ML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FENOBARBITAL 40MG/ML - CONTROLE ESPECIAL - 20ML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GENTAMICINA 5MG/ML - ANTIBIÓTICO NÃO PENICILÂNICOS,  NÃO CEFALOSPORÂNICOS/COLÍRIO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ACETAZOLAMIDA 250MG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N-BUTILESCOPOLAMINA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CLONIDINA 0,15MG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BENZILPENICILINA POTÁSSICA 400.000UI - COM DILUENTE ANTIBIÓTICO PENICILÂNICOS, CEFALOSPORÂNICOS/INJETAVEL.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IBUPROFENO 200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CLORETO DE POTÁSSIO 6% - LÍQUIDO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ESTROGÊNIOS CONJUGADOS 0,3 MG - ANOVULATÓRIO E HORMONAL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ÁCIDO EPSILON + AMINOCAPRÓICO - SÓLIDO - COMPRIMIDOS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N-BUTILESCOPOLAMINA + DIPIRONA SÓDICA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DICLOFENACO SÓDICO 0,1% SOLUÇÃO OFTÁLMICA - COLÍRIO. COM CERTIFICADO DE BOAS PRÁTICAS DE FABRICAÇÃO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HIDROCORTISONA + POLIMIXINA B + SULFATO DE NEOMICINA - SOLUÇÃO OTOLÓGICA - 10ML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TARTARATO DE BRIMONIDINA 2MG/ML + MALEATO DE TIMOLOL 5 MG/ML SOLUÇÃO OFTÁLMICA - 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TIABENDAZOL BISNAGA 45 G - SEMI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ERITROMICINA 50 MG/ML - ANTIBIÓTICO NÃO PENICILÂNICO, NÃO CEFALOSPORÂNICO - LÍQUIDO. COM CERTIFICADO DE BOAS PRÁTICAS DE FABRICAÇÃO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GLICEROL ENEMA 120 MG/ML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ESTROGÊNIOS CONJUGADOS CREME VAGINAL 0,625 MG/G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HALOPERIDOL DECANOATO SOLUÇÃO INJETÁVEL 50 MG/ML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HALOPERIDOL SOLUÇÃO ORAL 2 MG/ML - 20ML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PIRIDOXINA, CLORIDRATO COMPRIMIDO DE 40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SULFADIAZINA 500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MALEATO DE TIMOLOL 5 MG + TRAVOPROSTA 0,04% SOLUÇÃO OFTALMICA - 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ACETATO DE BETAMETASONA + FOSFATO DISSÓDICO DE BETAMETASONA 3 MG/ML - INJETÁVEL.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DEXTROCETAMINA 50 MG/ML - 10 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VITELINATO DE PRATA 10% - SOLUÇÃO OFTÁLMICA ESTÉRIL - 5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SOLUÇÃO FISIOLÓGICA CLORETO DE SÓDIO 0,9%, PARA USO EXTERNO (TÓPICO, INALATÓRIO OU INTRANASAL), FRASCO DE 500 ML COM BICO DOSADOR, DESNECESSÁRIO CORTE DE BICO, COM SOBRE TAMPA E LACRE EXTERNO.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SULFAMETOXAZOL 80MG/ML + TRIMETOPRIMA 16MG/ML - 5 ML - INJETÁVEL - IV.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HIPROMELOSE 0,3% SOLUÇÃO OFTÁLMICA - 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BIPERIDENO 4 MG - LIBERAÇÃO CONTROLADA- CONTROLE ESPECIAL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CLORPROMAZINA 40 MG/ ML - CONTROLE ESPECIAL - 20ML.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DIAZEPAM 5 MG/ML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DIGOXINA 0,05 MG/ML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FENOBARBITAL 100 MG/ML - CONTROLE ESPECIAL - INJETÁVEL.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LEVODOPA 200 MG + CARBIDOPA 50 MG - CONTROLE ESPECIAL - SÓLIDO.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LEVOTIROXINA 25 MCG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MEDROXIPROGESTERONA 10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VERAPAMIL 80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TIOTRÓPIO 2,5 MCG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PAROXETINA 30 MG - SÓLIDO - CONTROLE ESPECIAL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FUMARATO DE FORMOTEROL DI-HIDRATADO 12 MCG E BUDESONIDA 400 MCG, ACOMPANHA INALADOR, 60 (SESSENTA)  DOSES..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MISOPROSTOL 25 MCG - CAIXA COM 100 UNIDADES-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MISOPROSTOL 200 MCG - CAIXA COM 50 UNIDADES-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PASTA D'ÁGUA - SEMI-SÓLIDO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GLICOSAMINA 1,5 G + CONDROITINA 1,2 G - CAIXA COM 30 SACHÊS - SÓLIDO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SALMETEROL 25 MG + FLUTICASONA 125 MG - SPRAY - COM 120 DOSES.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ENOXAPARINA SÓDICA 40 MG/0,4 ML, SOLUÇÃO INJETÁVEL, SERINGA PRÉ-ENCHIDA.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OMALIZUMABE 150 MG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HEXOMIDINA 1 MG + CLORIDRATO DE TETRACAÍNA  0,5 MG, FRASCO NEBULIZADOR 50 ML, USO  ADULTO OU PEDIÁTRICO.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CIPROFLOXACINO 0,3% - SOLUÇÃO OFTÁLMICA ESTÉRIL. FRASCO COM 5ML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BRINZOLAMIDA  1%  - SUSPENSÃO OFTÁLMICA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TARTARATO DE BRIMONIDINA 0,2% - SOLUÇÃO OFTÁLMICA.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CLORETO DE POTÁSSIO 600 MG - SÓLIDO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TINIDAZOL 30 MG+NITRATO DE MICONAZOL 20 MG - CREME VAGINAL- SEMI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ATROPINA 0,5%  - SOLUÇÃO OFTAÁLMICA.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ÁGUA PARA INJEÇÃO 5 ML - INJETÁVEL (UNIDADE AMPOLA).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SULFADIAZINA DE PRATA 1% - POTE 400 GRAMAS (MÍNINO) - ANTIBIÓTICO NÃO PENICILÂNICOS, NÃO CEFALOSPORÂNICOS/SEMI-SÓLIDO.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FIBRINOLISINA + DESOXIRRIBONUCLEASE + CLORANFENICOL - SEMI SÓLIDO - TUBO DE 30 GRAMAS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LEVOBUPIVACAINA 0,5% COM VASO - 20ML - ESTOJO ESTERIL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HIDRALAZINA 25MG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HIDRALAZINA 50MG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PIRACETAM 800MG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CIANOCOBALAMINA+CLOR. DE PIRIDOXINA+NITRATO DE TIAMINA - 5000MCG+100MG+100MG - AMPOLAS I, II, III - 3ML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MESILATO DE DIHIDROERGOCRISTINA 6MG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SULPIRIDA 50MG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ESTEARATO DE ERITROMICINA 500MG.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ÁCIDO URSODESOXICOLICO 300 MG (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ANLODIPINO+ BENAZEPRIL 5/10MG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ANLODIPINO  + BENAZEPRIL 5/20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BIMATOPROSTA 0,01%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BRINZOLAMIDA + TIMOLOL 10/6,8 MG/ML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BUDESONIDA 50 MCG (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CARBAMAZEPINA CR 200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CARBAMAZEPINA CR 400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CLONIDINA 0,200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HIALURONATO DE SODIO 0,15%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DETEMIR   FLEX PEN 100UI/ML (UNIDADE).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GLARGINA 100 UI/ML FRASCO 10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GLARGINA SOLOSTAR 100 UI/ML CANETA 3 ML - AMPOLA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LISPRO KWIK PEN 100 UI/ML (UNIDADE).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PERICIAZINA 1%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RIVASTIGMINA 15-13,3 MG (ADESIVO).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SAXAGLIPTINA 5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VALSARTANA + ANLODIPINO 320/5MG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FOSFATO DE SITAGLIPTINA + CLORIDRATO DE METFORMINA 50/850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FLUTICASONA + SALMETEROL, 25/50 MCG..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TRAZODONA RETARD, 150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SALBUTAMOL 5MG/ML. GOTAS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CITIDINA + URIDINA + HIDRÓXICOBALAMINA,  2,5/1,5/1,0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PAROXETINA,  10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AMISSULPRIDA, 200 MG. -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APIDRA 100 UI SOLUÇÃO INJETÁVEL , FRASCO 3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ASPART 100 UI/ML, FRASCO COM 10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ESILATO DE NINTEDANIB 100MG - OFEV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ASPART 100 UI/ML, FLEX PEN - 3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BELIMUMABE 400MG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FLUNITRAZEPAM 2MG. COMPRIMIDO REVESTIDO.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MODAFINILA 200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METILFENIDATO 36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PERICIAZINA 4% (40 MG/ML). SOLUÇÃO ORAL.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COLECALCIFEROL (VITAMINA D3) 1.000 UI. CAPSULA GELATINOSA.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FOSFATO DE SITAGLIPTINA + CLORIDRATO DE METFORMINA 50/1000 MG. COMPRIMIDO REVESTIDO.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EMPAGLIFLOZINA 25 MG. COMPRIMIDO REVESTIDO.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PROXIMETACAÍNA SOLUÇÃO OFTÁLMICA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EZETIMIBA 10MG/SINVASTATINA 40MG.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TEICOPLAMINA 400MG. FRASCO-AMPOLA. PÓ PARA SOLUÇÃO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NITROGLICERINA 5 MG/ML. FRASCO 10ML. SOLUÇÃO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FOSFATO DE SITAGLIPTINA + CLORIDRATO DE METFORMINA  XR 50/1000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DIMESILATO DE LISDEXANFETAMINO 30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ESILATO DE NINTEDANIB 150MG - OFEV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BELIMUMABE 120MG, PÓ ILIOFILO.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DUPILUMABE 300MG. SOLUÇÃO INJETÁVEL CONTENDO 02 (DUAS) SERINGA PREENCHIDA COM 2ML CADA,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SACARATO DE HIDRÓXIDO FÉRRICO - 20MG/ML (100MG/5ML)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LIRAGLUTIDA 6 MG/ML. SOLUÇÃO INJETÁVEL. CANETA PREENCHIDA 3ML.</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4874895" cy="5408930"/>
            <wp:effectExtent l="0" t="0" r="1905" b="127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4874895" cy="54089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9770" cy="7454265"/>
            <wp:effectExtent l="0" t="0" r="11430" b="1333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79770" cy="745426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784850" cy="7683500"/>
            <wp:effectExtent l="0" t="0" r="6350" b="1270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784850" cy="76835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771515" cy="7816850"/>
            <wp:effectExtent l="0" t="0" r="635" b="1270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771515" cy="781685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770880" cy="7669530"/>
            <wp:effectExtent l="0" t="0" r="1270" b="762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4"/>
                    <a:stretch>
                      <a:fillRect/>
                    </a:stretch>
                  </pic:blipFill>
                  <pic:spPr>
                    <a:xfrm>
                      <a:off x="0" y="0"/>
                      <a:ext cx="5770880" cy="76695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775325" cy="7895590"/>
            <wp:effectExtent l="0" t="0" r="15875" b="1016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5"/>
                    <a:stretch>
                      <a:fillRect/>
                    </a:stretch>
                  </pic:blipFill>
                  <pic:spPr>
                    <a:xfrm>
                      <a:off x="0" y="0"/>
                      <a:ext cx="5775325" cy="789559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368290" cy="7103110"/>
            <wp:effectExtent l="0" t="0" r="3810" b="254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6"/>
                    <a:stretch>
                      <a:fillRect/>
                    </a:stretch>
                  </pic:blipFill>
                  <pic:spPr>
                    <a:xfrm>
                      <a:off x="0" y="0"/>
                      <a:ext cx="5368290" cy="710311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108/2021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ADRENOPLASMA 500ML - INJETÁVEL - GELATINA + ASSOCIAÇÕES.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AMPICILINA 1G - BIODISPONIBILIDADE E BIOEQUIVALÊNICIA, ANTIBIÓTICO PENCILÂNICOS, CEFALOSPORÂNICOS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CIMETIDINA 300MG 2ML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TETRACAÍNA 1%, CLORIDRATO FR FENILEFRINA 0,1% 10ML SOLUÇÃO OFTALMICA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ETILEFRINA 10MG/ML 1ML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TRAMADOL 100MG 2ML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DOPAMINA 5MG/ML 10ML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CLORANFENICOL 1G - COM TESTE DE BIODISPONIBILIDADE E BIOEQUIVALÊNICIA, ANTIBIÓTICO PENICILÂNICO, CEFALOSPORÂNICO - INJETAVEL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CEFTAZIDIMA 1G - BIODISPONIBILIDADE E BIOEQUIVALÊNCIA, ANTIBIÓTICO PENCILÂNICOS, CEFALOSPORÂNICOS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CITRATO DE FENTANILA 10ML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DICLOFENACO 15MG/ML 20ML GOTAS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DIMENIDRATO, CLORIDRATO DE PIRIDOXINA IM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DIMENIDRATO, CLORIDRATO DE PIRIDOXINA, GLICOSE, FRUTOSE EV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GENTAMICINA 80MG 2ML - QUE TENHA O TESTE DE BIODISPONIBILIDADE E BIOEQUIVALÊNCIA, ANTIBIÓTICO NÃO PENICILÂNICO, NÃO CEFALOSPORÂNICO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GLICOSE 50% 10 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HEPARINA SÓDICA 5000UI/ML 0,25ML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HALOPERIDOL 1ML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IMUNOGLOBULINA ANTIRH 2ML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METILERGOMETRINA 0,2MG/ML 1ML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MIDAZOLAN 5MG/3ML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MIDAZOLAN 15MG - CONTROLE ESPECIAL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PENICILINA G POTÁSSICA 5.000.000UI - ANTIBIÓTICO PENICILÂNICO, CEFALOSPORÂNICO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MAGNÉSIO 50% 10ML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TERBUTALINA 0,5MG/ML 1ML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SACCHAROMYCES CEREVISIAE 100 MILHÕES/ML 5ML ADULTO - LÍQUIDO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VANCOMICINA 500MG - QUE TENHA O TESTE DE BIODISPONIBILIDADE E BIOEQUIVALÊNCIA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BECLOMETASONA SOLUÇÃO INALANTE NASAL - 50 MCG - COM 130 DOSES/LIQUIDO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ERITROMICINA 500MG - ANTIBIÓTICO NÃO PENICILÂNICOS, NÃO CEFALOSPORÂNICOS/SÓLIDO.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TIABENDAZOL SUSPENSÃO ORAL 250MG/5ML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CLORPROPAMIDA 250 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FLUORESCEINA SODICA 1% SOLUÇÃO OFTALMICA ESTERIL  - COLÍRIO. C</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MALEATO DE TIMOLOL 0,5% - FRASCO 5 ML SOLUÇÃO OFTALMICA/ COLÍRIO.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DEXAMETASONA 0,5 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CIMETIDINA 200 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MEBENDAZOL 100MG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SALBUTAMOL 2MG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DIVALPROATO DE SÓDIO 250MG - CONTROLE ESPECIAL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LIDOCAÍNA 2% COM VASO, FRASCO COM 20 ML - LÍQUIDO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PETIDINA 100MG/2ML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AMICACINA 100MG- ANTIBIÓTICO NÃO PENICILÂNICOS, NÃO CEFALOSPORÂNICOS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BITARTARATO DE METARAMINOL 10MG/ML 1ML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ROCURONIO 50MG 5ML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FENILEFRINA 10% 5ML SOL. OFTALMICA ESTERIL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CITRATO DE FENTANILA 2ML EM  ESTOJOS  INDIVIDUAIS   E   ESTERELIZADOS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HIDRALAZINA 20MG/ML 1 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DROPERIDOL 2,5MG/ML 1ML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GLUCONATO DE CALCIO 10% 10ML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ISOFLURANO 240ML - CONTROLE ESPECIAL - LÍQUIDO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MIDAZOLAN 2MG/ML 10ML - CONTROLE ESPECIAL - LÍQUIDO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MONONITRATO DE ISOSSORBIDA 10MG/ML 1ML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SEVOFLURANO 250ML - CONTROLE ESPECIAL - LÍQUIDO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AMINOFILINA 24MG/ML 10 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ATRACÚRIO 10MG/ML 2,5ML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ATRACÚRIO 10MG/ML 5ML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BICARBONATO DE SÓDIO 8%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DESLANOSIDO 0,2MG/ML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GENTAMICINA 40MG 1ML - BIODISPONIBILIDADE E BIOEQUIVALÊNCIA, ANTIBIÓTICO NÃO PENCILÂNICOS, NÃO CEFALOSPORÂNICOS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INIBINA 5MG/ML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PROPOFOL 10MG/ML 10ML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MAGNÉSIO 10% 10ML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FENOBARBITAL 40MG/ML - CONTROLE ESPECIAL - 20ML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GENTAMICINA 5MG/ML - ANTIBIÓTICO NÃO PENICILÂNICOS,  NÃO CEFALOSPORÂNICOS/COLÍRIO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ACETAZOLAMIDA 250MG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N-BUTILESCOPOLAMINA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CLONIDINA 0,15MG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BENZILPENICILINA POTÁSSICA 400.000UI - COM DILUENTE ANTIBIÓTICO PENICILÂNICOS, CEFALOSPORÂNICOS/INJETAVEL.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IBUPROFENO 200 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CLORETO DE POTÁSSIO 6% - LÍQUIDO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ESTROGÊNIOS CONJUGADOS 0,3 MG - ANOVULATÓRIO E HORMONAL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ÁCIDO EPSILON + AMINOCAPRÓICO - SÓLIDO - COMPRIMIDOS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N-BUTILESCOPOLAMINA + DIPIRONA SÓDICA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DICLOFENACO SÓDICO 0,1% SOLUÇÃO OFTÁLMICA - COLÍRIO. COM CERTIFICADO DE BOAS PRÁTICAS DE FABRICAÇÃO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HIDROCORTISONA + POLIMIXINA B + SULFATO DE NEOMICINA - SOLUÇÃO OTOLÓGICA - 10ML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TARTARATO DE BRIMONIDINA 2MG/ML + MALEATO DE TIMOLOL 5 MG/ML SOLUÇÃO OFTÁLMICA - COLÍRIO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TIABENDAZOL BISNAGA 45 G - SEMI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ERITROMICINA 50 MG/ML - ANTIBIÓTICO NÃO PENICILÂNICO, NÃO CEFALOSPORÂNICO - LÍQUIDO. COM CERTIFICADO DE BOAS PRÁTICAS DE FABRICAÇÃO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GLICEROL ENEMA 120 MG/ML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ESTROGÊNIOS CONJUGADOS CREME VAGINAL 0,625 MG/G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HALOPERIDOL DECANOATO SOLUÇÃO INJETÁVEL 50 MG/ML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HALOPERIDOL SOLUÇÃO ORAL 2 MG/ML - 20ML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PIRIDOXINA, CLORIDRATO COMPRIMIDO DE 40 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SULFADIAZINA 500 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MALEATO DE TIMOLOL 5 MG + TRAVOPROSTA 0,04% SOLUÇÃO OFTALMICA - COLÍRIO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ACETATO DE BETAMETASONA + FOSFATO DISSÓDICO DE BETAMETASONA 3 MG/ML - INJETÁVEL.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DEXTROCETAMINA 50 MG/ML - 10 ML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VITELINATO DE PRATA 10% - SOLUÇÃO OFTÁLMICA ESTÉRIL - 5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SOLUÇÃO FISIOLÓGICA CLORETO DE SÓDIO 0,9%, PARA USO EXTERNO (TÓPICO, INALATÓRIO OU INTRANASAL), FRASCO DE 500 ML COM BICO DOSADOR, DESNECESSÁRIO CORTE DE BICO, COM SOBRE TAMPA E LACRE EXTERNO.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SULFAMETOXAZOL 80MG/ML + TRIMETOPRIMA 16MG/ML - 5 ML - INJETÁVEL - IV.</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HIPROMELOSE 0,3% SOLUÇÃO OFTÁLMICA - COLÍRIO.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BIPERIDENO 4 MG - LIBERAÇÃO CONTROLADA- CONTROLE ESPECIAL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CLORPROMAZINA 40 MG/ ML - CONTROLE ESPECIAL - 20ML.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DIAZEPAM 5 MG/ML - CONTROLE ESPECIAL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DIGOXINA 0,05 MG/ML - LÍQUIDO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FENOBARBITAL 100 MG/ML - CONTROLE ESPECIAL - INJETÁVEL.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LEVODOPA 200 MG + CARBIDOPA 50 MG - CONTROLE ESPECIAL - SÓLIDO.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LEVOTIROXINA 25 MCG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MEDROXIPROGESTERONA 10 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VERAPAMIL 80 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TIOTRÓPIO 2,5 MCG - LÍQUIDO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PAROXETINA 30 MG - SÓLIDO - CONTROLE ESPECIAL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FUMARATO DE FORMOTEROL DI-HIDRATADO 12 MCG E BUDESONIDA 400 MCG, ACOMPANHA INALADOR, 60 (SESSENTA)  DOSES..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MISOPROSTOL 25 MCG - CAIXA COM 100 UNIDADES-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MISOPROSTOL 200 MCG - CAIXA COM 50 UNIDADES-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PASTA D'ÁGUA - SEMI-SÓLIDO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GLICOSAMINA 1,5 G + CONDROITINA 1,2 G - CAIXA COM 30 SACHÊS - SÓLIDO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SALMETEROL 25 MG + FLUTICASONA 125 MG - SPRAY - COM 120 DOSES.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ENOXAPARINA SÓDICA 40 MG/0,4 ML, SOLUÇÃO INJETÁVEL, SERINGA PRÉ-ENCHIDA.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OMALIZUMABE 150 MG -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HEXOMIDINA 1 MG + CLORIDRATO DE TETRACAÍNA  0,5 MG, FRASCO NEBULIZADOR 50 ML, USO  ADULTO OU PEDIÁTRICO.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CIPROFLOXACINO 0,3% - SOLUÇÃO OFTÁLMICA ESTÉRIL. FRASCO COM 5ML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BRINZOLAMIDA  1%  - SUSPENSÃO OFTÁLMICA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TARTARATO DE BRIMONIDINA 0,2% - SOLUÇÃO OFTÁLMICA.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CLORETO DE POTÁSSIO 600 MG - SÓLIDO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TINIDAZOL 30 MG+NITRATO DE MICONAZOL 20 MG - CREME VAGINAL- SEMI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ATROPINA 0,5%  - SOLUÇÃO OFTAÁLMICA.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ÁGUA PARA INJEÇÃO 5 ML - INJETÁVEL (UNIDADE AMPOLA).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SULFADIAZINA DE PRATA 1% - POTE 400 GRAMAS (MÍNINO) - ANTIBIÓTICO NÃO PENICILÂNICOS, NÃO CEFALOSPORÂNICOS/SEMI-SÓLIDO.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FIBRINOLISINA + DESOXIRRIBONUCLEASE + CLORANFENICOL - SEMI SÓLIDO - TUBO DE 30 GRAMAS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LEVOBUPIVACAINA 0,5% COM VASO - 20ML - ESTOJO ESTERIL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HIDRALAZINA 25MG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HIDRALAZINA 50MG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PIRACETAM 800MG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CIANOCOBALAMINA+CLOR. DE PIRIDOXINA+NITRATO DE TIAMINA - 5000MCG+100MG+100MG - AMPOLAS I, II, III - 3ML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MESILATO DE DIHIDROERGOCRISTINA 6MG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SULPIRIDA 50MG -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ESTEARATO DE ERITROMICINA 500MG. SÓLIDO.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ÁCIDO URSODESOXICOLICO 300 MG ( COMPRIMIDO).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ANLODIPINO+ BENAZEPRIL 5/10MG (COMPRIMIDO).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ANLODIPINO  + BENAZEPRIL 5/20 MG (COMPRIMIDO).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BIMATOPROSTA 0,01% (FRASCO).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BRINZOLAMIDA + TIMOLOL 10/6,8 MG/ML (FRASCO).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BUDESONIDA 50 MCG ( FRASCO).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CARBAMAZEPINA CR 200 MG (COMPRIMIDO).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CARBAMAZEPINA CR 400 MG (COMPRIMIDO).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CLONIDINA 0,200 MG (COMPRIMIDO).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HIALURONATO DE SODIO 0,15% (FRASCO).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DETEMIR   FLEX PEN 100UI/ML (UNIDADE).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GLARGINA 100 UI/ML FRASCO 10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GLARGINA SOLOSTAR 100 UI/ML CANETA 3 ML - AMPOLA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LISPRO KWIK PEN 100 UI/ML (UNIDADE).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PERICIAZINA 1% (FRASCO).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RIVASTIGMINA 15-13,3 MG (ADESIVO).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SAXAGLIPTINA 5 MG (COMPRIMIDO).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VALSARTANA + ANLODIPINO 320/5MG (COMPRIMIDO).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FOSFATO DE SITAGLIPTINA + CLORIDRATO DE METFORMINA 50/850 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FLUTICASONA + SALMETEROL, 25/50 MCG..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TRAZODONA RETARD, 150 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SALBUTAMOL 5MG/ML. GOTAS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CITIDINA + URIDINA + HIDRÓXICOBALAMINA,  2,5/1,5/1,0  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PAROXETINA,  10  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AMISSULPRIDA, 200 MG. - COMPRIMIDO.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APIDRA 100 UI SOLUÇÃO INJETÁVEL , FRASCO 3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ASPART 100 UI/ML, FRASCO COM 10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ESILATO DE NINTEDANIB 100MG - OFEV</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ASPART 100 UI/ML, FLEX PEN - 3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BELIMUMABE 400MG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FLUNITRAZEPAM 2MG. COMPRIMIDO REVESTIDO.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MODAFINILA 200 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METILFENIDATO 36 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PERICIAZINA 4% (40 MG/ML). SOLUÇÃO ORAL.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COLECALCIFEROL (VITAMINA D3) 1.000 UI. CAPSULA GELATINOSA.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FOSFATO DE SITAGLIPTINA + CLORIDRATO DE METFORMINA 50/1000 MG. COMPRIMIDO REVESTIDO.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EMPAGLIFLOZINA 25 MG. COMPRIMIDO REVESTIDO.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PROXIMETACAÍNA SOLUÇÃO OFTÁLMICA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EZETIMIBA 10MG/SINVASTATINA 40MG.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TEICOPLAMINA 400MG. FRASCO-AMPOLA. PÓ PARA SOLUÇÃO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NITROGLICERINA 5 MG/ML. FRASCO 10ML. SOLUÇÃO INJETÁVEL.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FOSFATO DE SITAGLIPTINA + CLORIDRATO DE METFORMINA  XR 50/1000 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DIMESILATO DE LISDEXANFETAMINO 30 MG.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ESILATO DE NINTEDANIB 150MG - OFEV</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BELIMUMABE 120MG, PÓ ILIOFILO.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DUPILUMABE 300MG. SOLUÇÃO INJETÁVEL CONTENDO 02 (DUAS) SERINGA PREENCHIDA COM 2ML CADA,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SACARATO DE HIDRÓXIDO FÉRRICO - 20MG/ML (100MG/5ML)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LIRAGLUTIDA 6 MG/ML. SOLUÇÃO INJETÁVEL. CANETA PREENCHIDA 3ML.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108/2021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193/2021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108/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Saúde, com sede a Avenida Amélia Fukuda nº. 100, inscrito no CGC/MF sob o n.º 11.221.619/0001-42, </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i/>
          <w:iCs/>
          <w:sz w:val="22"/>
        </w:rPr>
        <w:t xml:space="preserve"> </w:t>
      </w:r>
      <w:r>
        <w:rPr>
          <w:rFonts w:eastAsia="Times New Roman"/>
          <w:iCs/>
          <w:sz w:val="24"/>
          <w:szCs w:val="24"/>
        </w:rPr>
        <w:t>Gerente de Saúde e Ordenador de Despesas conforme Decreto nº. 052/2021, brasileiro, portador do CPF/MF nº. 613.705.841-72 e Cédula de Identidade RG nº. 828.899 SSP/MS, residente e domiciliado nesta cidade a Rua Riachuelo nº 450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108/2021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MEDICAMENTOS CONFORME TERMO DE REFERÊNCIA, PARA ATENDER SOLICITAÇÃO DA GERÊNCIA DE SAÚDE DO MUNICÍPIO DE NAVIRAÍ/MS. PEDIDO DE COMPRA Nº 091/2021.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108/2021</w:t>
      </w:r>
      <w:r>
        <w:rPr>
          <w:rFonts w:eastAsia="Times New Roman"/>
          <w:sz w:val="24"/>
          <w:szCs w:val="24"/>
          <w:lang w:eastAsia="pt-BR"/>
        </w:rPr>
        <w:t xml:space="preserve">, Processo n° </w:t>
      </w:r>
      <w:r>
        <w:rPr>
          <w:rFonts w:eastAsia="Times New Roman"/>
          <w:b/>
          <w:sz w:val="24"/>
          <w:szCs w:val="24"/>
          <w:lang w:eastAsia="pt-BR"/>
        </w:rPr>
        <w:t>193/2021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deverá ser entregue no Almoxarifado Central da Saúde, pelo prazo </w:t>
      </w:r>
      <w:r>
        <w:rPr>
          <w:rFonts w:eastAsia="Times New Roman"/>
          <w:b/>
          <w:sz w:val="24"/>
          <w:szCs w:val="24"/>
        </w:rPr>
        <w:t>estabelecido no Termo de referência</w:t>
      </w:r>
      <w:r>
        <w:rPr>
          <w:rFonts w:eastAsia="Times New Roman"/>
          <w:sz w:val="24"/>
          <w:szCs w:val="24"/>
        </w:rPr>
        <w:t xml:space="preserve"> de cada medicamento o prazo passa a contar do recebimento da requisição devidamente assinada.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7.2</w:t>
      </w:r>
      <w:r>
        <w:rPr>
          <w:rFonts w:eastAsia="Times New Roman"/>
          <w:iCs/>
          <w:sz w:val="24"/>
          <w:szCs w:val="24"/>
        </w:rPr>
        <w:t xml:space="preserve"> – Os medicamentos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a) Data de fabricação e data de vencimento;</w:t>
      </w: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b) Número de registro emitido pela ANVISA;</w:t>
      </w: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c) No caso de medicamentos genéricos deverão constar “MEDICAMENTO GENÉRICO” dentro de uma tarja amarela e impresso “Lei nº 9.787/99”.</w:t>
      </w: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d) Constar a expressão “PROIBIDA A VENDA NO COMÉRCIO”.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7.3</w:t>
      </w:r>
      <w:r>
        <w:rPr>
          <w:rFonts w:eastAsia="Times New Roman"/>
          <w:iCs/>
          <w:sz w:val="24"/>
          <w:szCs w:val="24"/>
        </w:rPr>
        <w:t xml:space="preserve"> – O prazo de validade dos medicamentos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7.4</w:t>
      </w:r>
      <w:r>
        <w:rPr>
          <w:rFonts w:eastAsia="Times New Roman"/>
          <w:iCs/>
          <w:sz w:val="24"/>
          <w:szCs w:val="24"/>
        </w:rPr>
        <w:t xml:space="preserve"> – A licitante vencedora garantirá a qualidade dos medicamentos pelo prazo estabelecido pelo fabricante.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7.5</w:t>
      </w:r>
      <w:r>
        <w:rPr>
          <w:rFonts w:eastAsia="Times New Roman"/>
          <w:iCs/>
          <w:sz w:val="24"/>
          <w:szCs w:val="24"/>
        </w:rPr>
        <w:t xml:space="preserve"> – Os medicamentos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7.6</w:t>
      </w:r>
      <w:r>
        <w:rPr>
          <w:rFonts w:eastAsia="Times New Roman"/>
          <w:iCs/>
          <w:sz w:val="24"/>
          <w:szCs w:val="24"/>
        </w:rPr>
        <w:t xml:space="preserve"> – A licitante vencedora, sujeitar-se-á a mais ampla e irrestrita fiscalização por parte da Administração Municipal, encarregada de acompanhar a entrega dos medicamentos prestando esclarecimento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7.7</w:t>
      </w:r>
      <w:r>
        <w:rPr>
          <w:rFonts w:eastAsia="Times New Roman"/>
          <w:iCs/>
          <w:sz w:val="24"/>
          <w:szCs w:val="24"/>
        </w:rPr>
        <w:t xml:space="preserve"> – A licitante vencedora ficará obrigada a trocar as suas expensas o medicamento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7.8</w:t>
      </w:r>
      <w:r>
        <w:rPr>
          <w:rFonts w:eastAsia="Times New Roman"/>
          <w:iCs/>
          <w:sz w:val="24"/>
          <w:szCs w:val="24"/>
        </w:rPr>
        <w:t xml:space="preserve"> – Independentemente da aceitação, a adjudicatária garantirá a qualidade dos medicamentos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7.9</w:t>
      </w:r>
      <w:r>
        <w:rPr>
          <w:rFonts w:eastAsia="Times New Roman"/>
          <w:iCs/>
          <w:sz w:val="24"/>
          <w:szCs w:val="24"/>
        </w:rPr>
        <w:t xml:space="preserve"> - A empresa contratada deverá fazer a reposição dos itens que não preencham as especificações, no prazo constante no Termo de Referencia a contar da data de devolução, sendo que em caso de não aceitação dos produtos, a devolução (frete) será por conta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szCs w:val="20"/>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108/2021</w:t>
      </w:r>
      <w:r>
        <w:rPr>
          <w:rFonts w:eastAsia="Times New Roman"/>
          <w:sz w:val="24"/>
          <w:szCs w:val="24"/>
          <w:lang w:eastAsia="pt-BR"/>
        </w:rPr>
        <w:t xml:space="preserve"> – Processo nº. </w:t>
      </w:r>
      <w:r>
        <w:rPr>
          <w:rFonts w:eastAsia="Times New Roman"/>
          <w:b/>
          <w:sz w:val="24"/>
          <w:szCs w:val="24"/>
          <w:lang w:eastAsia="pt-BR"/>
        </w:rPr>
        <w:t>193/2021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szCs w:val="20"/>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hint="default" w:eastAsia="Times New Roman"/>
          <w:b/>
          <w:bCs/>
          <w:sz w:val="24"/>
          <w:szCs w:val="24"/>
          <w:lang w:val="pt-BR"/>
        </w:rPr>
        <w:t xml:space="preserve">     </w:t>
      </w:r>
      <w:r>
        <w:rPr>
          <w:rFonts w:eastAsia="Times New Roman"/>
          <w:b/>
          <w:bCs/>
          <w:sz w:val="24"/>
          <w:szCs w:val="24"/>
        </w:rPr>
        <w:t xml:space="preserve">PREGÃO PRESENCIAL Nº 108/2021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w:t>
      </w:r>
      <w:r>
        <w:rPr>
          <w:rFonts w:hint="default" w:eastAsia="Times New Roman"/>
          <w:b/>
          <w:iCs/>
          <w:sz w:val="24"/>
          <w:szCs w:val="24"/>
          <w:lang w:val="pt-BR"/>
        </w:rPr>
        <w:t>________</w:t>
      </w:r>
      <w:r>
        <w:rPr>
          <w:rFonts w:eastAsia="Times New Roman"/>
          <w:b/>
          <w:iCs/>
          <w:sz w:val="24"/>
          <w:szCs w:val="24"/>
        </w:rPr>
        <w:t xml:space="preserve">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i/>
          <w:iCs/>
          <w:sz w:val="22"/>
        </w:rPr>
        <w:t xml:space="preserve"> </w:t>
      </w:r>
      <w:r>
        <w:rPr>
          <w:rFonts w:eastAsia="Times New Roman"/>
          <w:iCs/>
          <w:sz w:val="24"/>
          <w:szCs w:val="24"/>
        </w:rPr>
        <w:t>Gerente de Saúde e Ordenador de Despesas conforme Decreto nº. 052/2021, brasileiro, portador do CPF/MF nº. 613.705.841-72 e Cédula de Identidade RG nº. 828.899 SSP/MS, residente e domiciliado nesta cidade a Rua Riachuelo nº 450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193/2021</w:t>
      </w:r>
      <w:r>
        <w:rPr>
          <w:rFonts w:eastAsia="Times New Roman"/>
          <w:iCs/>
          <w:sz w:val="24"/>
          <w:szCs w:val="24"/>
          <w:lang w:eastAsia="pt-BR"/>
        </w:rPr>
        <w:t xml:space="preserve">, gerado pelo </w:t>
      </w:r>
      <w:r>
        <w:rPr>
          <w:rFonts w:eastAsia="Times New Roman"/>
          <w:b/>
          <w:iCs/>
          <w:sz w:val="24"/>
          <w:szCs w:val="24"/>
          <w:lang w:eastAsia="pt-BR"/>
        </w:rPr>
        <w:t>Pregão Presencial nº. 108/2021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MEDICAMENTOS CONFORME TERMO DE REFERÊNCIA, PARA ATENDER SOLICITAÇÃO DA GERÊNCIA DE SAÚDE DO MUNICÍPIO DE NAVIRAÍ/MS. PEDIDO DE COMPRA Nº 091/2021.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ADRENOPLASMA 500ML - INJETÁVEL - GELATINA + ASSOCIAÇÕES.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AMPICILINA 1G - BIODISPONIBILIDADE E BIOEQUIVALÊNICIA, ANTIBIÓTICO PENCILÂNICOS, CEFALOSPORÂNICOS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CIMETIDINA 300MG 2ML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TETRACAÍNA 1%, CLORIDRATO FR FENILEFRINA 0,1% 10ML SOLUÇÃO OFTALMICA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ETILEFRINA 10MG/ML 1ML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TRAMADOL 100MG 2ML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DOPAMINA 5MG/ML 10ML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CLORANFENICOL 1G - COM TESTE DE BIODISPONIBILIDADE E BIOEQUIVALÊNICIA, ANTIBIÓTICO PENICILÂNICO, CEFALOSPORÂNICO - INJETAVEL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CEFTAZIDIMA 1G - BIODISPONIBILIDADE E BIOEQUIVALÊNCIA, ANTIBIÓTICO PENCILÂNICOS, CEFALOSPORÂNICOS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CITRATO DE FENTANILA 10ML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DICLOFENACO 15MG/ML 20ML GOTAS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DIMENIDRATO, CLORIDRATO DE PIRIDOXINA IM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DIMENIDRATO, CLORIDRATO DE PIRIDOXINA, GLICOSE, FRUTOSE EV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GENTAMICINA 80MG 2ML - QUE TENHA O TESTE DE BIODISPONIBILIDADE E BIOEQUIVALÊNCIA, ANTIBIÓTICO NÃO PENICILÂNICO, NÃO CEFALOSPORÂNICO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GLICOSE 50% 10 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HEPARINA SÓDICA 5000UI/ML 0,25ML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HALOPERIDOL 1ML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IMUNOGLOBULINA ANTIRH 2ML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METILERGOMETRINA 0,2MG/ML 1ML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MIDAZOLAN 5MG/3ML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MIDAZOLAN 15MG - CONTROLE ESPECIAL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PENICILINA G POTÁSSICA 5.000.000UI - ANTIBIÓTICO PENICILÂNICO, CEFALOSPORÂNICO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MAGNÉSIO 50% 10ML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TERBUTALINA 0,5MG/ML 1ML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SACCHAROMYCES CEREVISIAE 100 MILHÕES/ML 5ML ADULTO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VANCOMICINA 500MG - QUE TENHA O TESTE DE BIODISPONIBILIDADE E BIOEQUIVALÊNCIA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BECLOMETASONA SOLUÇÃO INALANTE NASAL - 50 MCG - COM 130 DOSES/LIQUIDO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ERITROMICINA 500MG - ANTIBIÓTICO NÃO PENICILÂNICOS, NÃO CEFALOSPORÂNICOS/SÓLIDO.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TIABENDAZOL SUSPENSÃO ORAL 250MG/5ML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CLORPROPAMIDA 250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FLUORESCEINA SODICA 1% SOLUÇÃO OFTALMICA ESTERIL  - COLÍRIO. 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MALEATO DE TIMOLOL 0,5% - FRASCO 5 ML SOLUÇÃO OFTALMICA/ 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DEXAMETASONA 0,5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CIMETIDINA 200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MEBENDAZOL 100MG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SALBUTAMOL 2MG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DIVALPROATO DE SÓDIO 250MG - CONTROLE ESPECIAL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LIDOCAÍNA 2% COM VASO, FRASCO COM 20 ML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PETIDINA 100MG/2ML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AMICACINA 100MG- ANTIBIÓTICO NÃO PENICILÂNICOS, NÃO CEFALOSPORÂNICOS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BITARTARATO DE METARAMINOL 10MG/ML 1ML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ROCURONIO 50MG 5ML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FENILEFRINA 10% 5ML SOL. OFTALMICA ESTERIL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CITRATO DE FENTANILA 2ML EM  ESTOJOS  INDIVIDUAIS   E   ESTERELIZADOS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HIDRALAZINA 20MG/ML 1 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DROPERIDOL 2,5MG/ML 1ML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GLUCONATO DE CALCIO 10% 10ML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ISOFLURANO 240ML - CONTROLE ESPECIAL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MIDAZOLAN 2MG/ML 10ML - CONTROLE ESPECIAL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MONONITRATO DE ISOSSORBIDA 10MG/ML 1ML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SEVOFLURANO 250ML - CONTROLE ESPECIAL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AMINOFILINA 24MG/ML 10 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ATRACÚRIO 10MG/ML 2,5ML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ATRACÚRIO 10MG/ML 5ML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BICARBONATO DE SÓDIO 8%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DESLANOSIDO 0,2MG/ML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GENTAMICINA 40MG 1ML - BIODISPONIBILIDADE E BIOEQUIVALÊNCIA, ANTIBIÓTICO NÃO PENCILÂNICOS, NÃO CEFALOSPORÂNICOS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INIBINA 5MG/ML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PROPOFOL 10MG/ML 10ML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MAGNÉSIO 10% 10ML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FENOBARBITAL 40MG/ML - CONTROLE ESPECIAL - 20ML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GENTAMICINA 5MG/ML - ANTIBIÓTICO NÃO PENICILÂNICOS,  NÃO CEFALOSPORÂNICOS/COLÍRIO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ACETAZOLAMIDA 250MG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N-BUTILESCOPOLAMINA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CLONIDINA 0,15MG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BENZILPENICILINA POTÁSSICA 400.000UI - COM DILUENTE ANTIBIÓTICO PENICILÂNICOS, CEFALOSPORÂNICOS/INJETAVEL.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IBUPROFENO 200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CLORETO DE POTÁSSIO 6% - LÍQUIDO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ESTROGÊNIOS CONJUGADOS 0,3 MG - ANOVULATÓRIO E HORMONAL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ÁCIDO EPSILON + AMINOCAPRÓICO - SÓLIDO - COMPRIMIDOS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N-BUTILESCOPOLAMINA + DIPIRONA SÓDICA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DICLOFENACO SÓDICO 0,1% SOLUÇÃO OFTÁLMICA - COLÍRIO. COM CERTIFICADO DE BOAS PRÁTICAS DE FABRICAÇÃO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HIDROCORTISONA + POLIMIXINA B + SULFATO DE NEOMICINA - SOLUÇÃO OTOLÓGICA - 10ML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TARTARATO DE BRIMONIDINA 2MG/ML + MALEATO DE TIMOLOL 5 MG/ML SOLUÇÃO OFTÁLMICA - 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TIABENDAZOL BISNAGA 45 G - SEMI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ERITROMICINA 50 MG/ML - ANTIBIÓTICO NÃO PENICILÂNICO, NÃO CEFALOSPORÂNICO - LÍQUIDO. COM CERTIFICADO DE BOAS PRÁTICAS DE FABRICAÇÃO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GLICEROL ENEMA 120 MG/ML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ESTROGÊNIOS CONJUGADOS CREME VAGINAL 0,625 MG/G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HALOPERIDOL DECANOATO SOLUÇÃO INJETÁVEL 50 MG/ML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HALOPERIDOL SOLUÇÃO ORAL 2 MG/ML - 20ML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PIRIDOXINA, CLORIDRATO COMPRIMIDO DE 40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SULFADIAZINA 500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MALEATO DE TIMOLOL 5 MG + TRAVOPROSTA 0,04% SOLUÇÃO OFTALMICA - 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ACETATO DE BETAMETASONA + FOSFATO DISSÓDICO DE BETAMETASONA 3 MG/ML - INJETÁVEL.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DEXTROCETAMINA 50 MG/ML - 10 ML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VITELINATO DE PRATA 10% - SOLUÇÃO OFTÁLMICA ESTÉRIL - 5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SOLUÇÃO FISIOLÓGICA CLORETO DE SÓDIO 0,9%, PARA USO EXTERNO (TÓPICO, INALATÓRIO OU INTRANASAL), FRASCO DE 500 ML COM BICO DOSADOR, DESNECESSÁRIO CORTE DE BICO, COM SOBRE TAMPA E LACRE EXTERNO.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SULFAMETOXAZOL 80MG/ML + TRIMETOPRIMA 16MG/ML - 5 ML - INJETÁVEL - IV.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HIPROMELOSE 0,3% SOLUÇÃO OFTÁLMICA - COLÍRIO.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BIPERIDENO 4 MG - LIBERAÇÃO CONTROLADA- CONTROLE ESPECIAL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CLORPROMAZINA 40 MG/ ML - CONTROLE ESPECIAL - 20ML.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DIAZEPAM 5 MG/ML - CONTROLE ESPECIAL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DIGOXINA 0,05 MG/ML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FENOBARBITAL 100 MG/ML - CONTROLE ESPECIAL - INJETÁVEL.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LEVODOPA 200 MG + CARBIDOPA 50 MG - CONTROLE ESPECIAL - SÓLIDO.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LEVOTIROXINA 25 MCG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MEDROXIPROGESTERONA 10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VERAPAMIL 80 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BROMETO DE TIOTRÓPIO 2,5 MCG - LÍQUIDO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PAROXETINA 30 MG - SÓLIDO - CONTROLE ESPECIAL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FUMARATO DE FORMOTEROL DI-HIDRATADO 12 MCG E BUDESONIDA 400 MCG, ACOMPANHA INALADOR, 60 (SESSENTA)  DOSES..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MISOPROSTOL 25 MCG - CAIXA COM 100 UNIDADES-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MISOPROSTOL 200 MCG - CAIXA COM 50 UNIDADES-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PASTA D'ÁGUA - SEMI-SÓLIDO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GLICOSAMINA 1,5 G + CONDROITINA 1,2 G - CAIXA COM 30 SACHÊS - SÓLIDO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SALMETEROL 25 MG + FLUTICASONA 125 MG - SPRAY - COM 120 DOSES.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ENOXAPARINA SÓDICA 40 MG/0,4 ML, SOLUÇÃO INJETÁVEL, SERINGA PRÉ-ENCHIDA.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OMALIZUMABE 150 MG -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HEXOMIDINA 1 MG + CLORIDRATO DE TETRACAÍNA  0,5 MG, FRASCO NEBULIZADOR 50 ML, USO  ADULTO OU PEDIÁTRICO.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CIPROFLOXACINO 0,3% - SOLUÇÃO OFTÁLMICA ESTÉRIL. FRASCO COM 5ML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BRINZOLAMIDA  1%  - SUSPENSÃO OFTÁLMICA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TARTARATO DE BRIMONIDINA 0,2% - SOLUÇÃO OFTÁLMICA.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CLORETO DE POTÁSSIO 600 MG - SÓLIDO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TINIDAZOL 30 MG+NITRATO DE MICONAZOL 20 MG - CREME VAGINAL- SEMI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ATROPINA 0,5%  - SOLUÇÃO OFTAÁLMICA.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ÁGUA PARA INJEÇÃO 5 ML - INJETÁVEL (UNIDADE AMPOLA).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SULFADIAZINA DE PRATA 1% - POTE 400 GRAMAS (MÍNINO) - ANTIBIÓTICO NÃO PENICILÂNICOS, NÃO CEFALOSPORÂNICOS/SEMI-SÓLIDO.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FIBRINOLISINA + DESOXIRRIBONUCLEASE + CLORANFENICOL - SEMI SÓLIDO - TUBO DE 30 GRAMAS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LEVOBUPIVACAINA 0,5% COM VASO - 20ML - ESTOJO ESTERIL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HIDRALAZINA 25MG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CLORIDRATO DE HIDRALAZINA 50MG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PIRACETAM 800MG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CIANOCOBALAMINA+CLOR. DE PIRIDOXINA+NITRATO DE TIAMINA - 5000MCG+100MG+100MG - AMPOLAS I, II, III - 3ML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MESILATO DE DIHIDROERGOCRISTINA 6MG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SULPIRIDA 50MG -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ESTEARATO DE ERITROMICINA 500MG. SÓLIDO.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ÁCIDO URSODESOXICOLICO 300 MG (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ANLODIPINO+ BENAZEPRIL 5/10MG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ANLODIPINO  + BENAZEPRIL 5/20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BIMATOPROSTA 0,01%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BRINZOLAMIDA + TIMOLOL 10/6,8 MG/ML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BUDESONIDA 50 MCG (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CARBAMAZEPINA CR 200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CARBAMAZEPINA CR 400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CLONIDINA 0,200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HIALURONATO DE SODIO 0,15%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DETEMIR   FLEX PEN 100UI/ML (UNIDADE).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GLARGINA 100 UI/ML FRASCO 10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GLARGINA SOLOSTAR 100 UI/ML CANETA 3 ML - AMPOLA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LISPRO KWIK PEN 100 UI/ML (UNIDADE).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PERICIAZINA 1% (FRASCO).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RIVASTIGMINA 15-13,3 MG (ADESIVO).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SAXAGLIPTINA 5 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VALSARTANA + ANLODIPINO 320/5MG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FOSFATO DE SITAGLIPTINA + CLORIDRATO DE METFORMINA 50/850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FLUTICASONA + SALMETEROL, 25/50 MCG..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TRAZODONA RETARD, 150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SULFATO DE SALBUTAMOL 5MG/ML. GOTAS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CITIDINA + URIDINA + HIDRÓXICOBALAMINA,  2,5/1,5/1,0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PAROXETINA,  10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AMISSULPRIDA, 200 MG. - COMPRIMIDO.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APIDRA 100 UI SOLUÇÃO INJETÁVEL , FRASCO 3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ASPART 100 UI/ML, FRASCO COM 10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ESILATO DE NINTEDANIB 100MG - OFEV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INSULINA ASPART 100 UI/ML, FLEX PEN - 3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BELIMUMABE 400MG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FLUNITRAZEPAM 2MG. COMPRIMIDO REVESTIDO.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MODAFINILA 200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METILFENIDATO 36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PERICIAZINA 4% (40 MG/ML). SOLUÇÃO ORAL.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COLECALCIFEROL (VITAMINA D3) 1.000 UI. CAPSULA GELATINOSA.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FOSFATO DE SITAGLIPTINA + CLORIDRATO DE METFORMINA 50/1000 MG. COMPRIMIDO REVESTIDO.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EMPAGLIFLOZINA 25 MG. COMPRIMIDO REVESTIDO.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PROXIMETACAÍNA SOLUÇÃO OFTÁLMICA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EZETIMIBA 10MG/SINVASTATINA 40MG.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TEICOPLAMINA 400MG. FRASCO-AMPOLA. PÓ PARA SOLUÇÃO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NITROGLICERINA 5 MG/ML. FRASCO 10ML. SOLUÇÃO INJETÁVEL.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FOSFATO DE SITAGLIPTINA + CLORIDRATO DE METFORMINA  XR 50/1000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CAP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DIMESILATO DE LISDEXANFETAMINO 30 MG.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ESILATO DE NINTEDANIB 150MG - OFEV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BELIMUMABE 120MG, PÓ ILIOFILO.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DUPILUMABE 300MG. SOLUÇÃO INJETÁVEL CONTENDO 02 (DUAS) SERINGA PREENCHIDA COM 2ML CADA,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AMP</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SACARATO DE HIDRÓXIDO FÉRRICO - 20MG/ML (100MG/5ML)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LIRAGLUTIDA 6 MG/ML. SOLUÇÃO INJETÁVEL. CANETA PREENCHIDA 3ML.</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deverá ser entregue no Almoxarifado Central da Saúde, pelo prazo </w:t>
      </w:r>
      <w:r>
        <w:rPr>
          <w:rFonts w:eastAsia="Times New Roman"/>
          <w:b/>
          <w:sz w:val="24"/>
          <w:szCs w:val="24"/>
        </w:rPr>
        <w:t>estabelecido no Termo de referência</w:t>
      </w:r>
      <w:r>
        <w:rPr>
          <w:rFonts w:eastAsia="Times New Roman"/>
          <w:sz w:val="24"/>
          <w:szCs w:val="24"/>
        </w:rPr>
        <w:t xml:space="preserve"> de cada medicamento o prazo passa a contar do recebimento da requisição devidamente assinada.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3.2</w:t>
      </w:r>
      <w:r>
        <w:rPr>
          <w:rFonts w:eastAsia="Times New Roman"/>
          <w:iCs/>
          <w:sz w:val="24"/>
          <w:szCs w:val="24"/>
        </w:rPr>
        <w:t xml:space="preserve"> – Os medicamentos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a) Data de fabricação e data de vencimento;</w:t>
      </w: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b) Número de registro emitido pela ANVISA;</w:t>
      </w: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c) No caso de medicamentos genéricos deverão constar “MEDICAMENTO GENÉRICO” dentro de uma tarja amarela e impresso “Lei nº 9.787/99”.</w:t>
      </w:r>
    </w:p>
    <w:p>
      <w:pPr>
        <w:overflowPunct w:val="0"/>
        <w:autoSpaceDE w:val="0"/>
        <w:autoSpaceDN w:val="0"/>
        <w:adjustRightInd w:val="0"/>
        <w:spacing w:after="0" w:line="240" w:lineRule="auto"/>
        <w:jc w:val="both"/>
        <w:rPr>
          <w:rFonts w:eastAsia="Times New Roman"/>
          <w:iCs/>
          <w:sz w:val="24"/>
          <w:szCs w:val="24"/>
        </w:rPr>
      </w:pPr>
      <w:r>
        <w:rPr>
          <w:rFonts w:eastAsia="Times New Roman"/>
          <w:iCs/>
          <w:sz w:val="24"/>
          <w:szCs w:val="24"/>
        </w:rPr>
        <w:t>d) Constar a expressão “PROIBIDA A VENDA NO COMÉRCIO”.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3.3</w:t>
      </w:r>
      <w:r>
        <w:rPr>
          <w:rFonts w:eastAsia="Times New Roman"/>
          <w:iCs/>
          <w:sz w:val="24"/>
          <w:szCs w:val="24"/>
        </w:rPr>
        <w:t xml:space="preserve"> – O prazo de validade dos medicamentos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3.4</w:t>
      </w:r>
      <w:r>
        <w:rPr>
          <w:rFonts w:eastAsia="Times New Roman"/>
          <w:iCs/>
          <w:sz w:val="24"/>
          <w:szCs w:val="24"/>
        </w:rPr>
        <w:t xml:space="preserve"> – A licitante vencedora garantirá a qualidade dos medicamentos pelo prazo estabelecido pelo fabricante.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3.5</w:t>
      </w:r>
      <w:r>
        <w:rPr>
          <w:rFonts w:eastAsia="Times New Roman"/>
          <w:iCs/>
          <w:sz w:val="24"/>
          <w:szCs w:val="24"/>
        </w:rPr>
        <w:t xml:space="preserve"> – Os medicamentos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3.6</w:t>
      </w:r>
      <w:r>
        <w:rPr>
          <w:rFonts w:eastAsia="Times New Roman"/>
          <w:iCs/>
          <w:sz w:val="24"/>
          <w:szCs w:val="24"/>
        </w:rPr>
        <w:t xml:space="preserve"> – A licitante vencedora, sujeitar-se-á a mais ampla e irrestrita fiscalização por parte da Administração Municipal, encarregada de acompanhar a entrega dos medicamentos prestando esclarecimento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3.7</w:t>
      </w:r>
      <w:r>
        <w:rPr>
          <w:rFonts w:eastAsia="Times New Roman"/>
          <w:iCs/>
          <w:sz w:val="24"/>
          <w:szCs w:val="24"/>
        </w:rPr>
        <w:t xml:space="preserve"> – A licitante vencedora ficará obrigada a trocar as suas expensas o medicamento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3.8</w:t>
      </w:r>
      <w:r>
        <w:rPr>
          <w:rFonts w:eastAsia="Times New Roman"/>
          <w:iCs/>
          <w:sz w:val="24"/>
          <w:szCs w:val="24"/>
        </w:rPr>
        <w:t xml:space="preserve"> – Independentemente da aceitação, a adjudicatária garantirá a qualidade dos medicamentos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3.9</w:t>
      </w:r>
      <w:r>
        <w:rPr>
          <w:rFonts w:eastAsia="Times New Roman"/>
          <w:iCs/>
          <w:sz w:val="24"/>
          <w:szCs w:val="24"/>
        </w:rPr>
        <w:t xml:space="preserve"> - A empresa contratada deverá fazer a reposição dos itens que não preencham as especificações, no prazo constante no Termo de Referencia a contar da data de devolução, sendo que em caso de não aceitação dos produtos, a devolução (frete) será por conta da contratada.</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r>
        <w:rPr>
          <w:rFonts w:hint="default" w:eastAsia="Times New Roman"/>
          <w:iCs/>
          <w:sz w:val="24"/>
          <w:szCs w:val="24"/>
          <w:lang w:val="pt-BR"/>
        </w:rPr>
        <w:t xml:space="preserve">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szCs w:val="20"/>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108/2021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108/2021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108</w:t>
      </w:r>
      <w:r>
        <w:rPr>
          <w:rFonts w:eastAsia="Times New Roman"/>
          <w:b/>
          <w:bCs/>
          <w:sz w:val="24"/>
          <w:szCs w:val="24"/>
        </w:rPr>
        <w:t>/</w:t>
      </w:r>
      <w:r>
        <w:rPr>
          <w:rFonts w:eastAsia="Times New Roman"/>
          <w:b/>
          <w:sz w:val="24"/>
          <w:szCs w:val="24"/>
        </w:rPr>
        <w:t>2021</w:t>
      </w:r>
      <w:r>
        <w:rPr>
          <w:rFonts w:hint="default" w:eastAsia="Times New Roman"/>
          <w:b/>
          <w:sz w:val="24"/>
          <w:szCs w:val="24"/>
          <w:lang w:val="pt-BR"/>
        </w:rPr>
        <w:t xml:space="preserve"> </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108/2021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108/2021.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108/2021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 COMPLETO.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ascii="Verdana" w:hAnsi="Verdana" w:eastAsia="Times New Roman"/>
          <w:b/>
          <w:sz w:val="16"/>
          <w:szCs w:val="16"/>
        </w:rPr>
      </w:pPr>
    </w:p>
    <w:p>
      <w:pPr>
        <w:overflowPunct w:val="0"/>
        <w:autoSpaceDE w:val="0"/>
        <w:autoSpaceDN w:val="0"/>
        <w:adjustRightInd w:val="0"/>
        <w:spacing w:after="0" w:line="240" w:lineRule="auto"/>
        <w:jc w:val="both"/>
        <w:textAlignment w:val="baseline"/>
        <w:rPr>
          <w:rFonts w:ascii="Verdana" w:hAnsi="Verdana" w:eastAsia="Times New Roman"/>
          <w:b/>
          <w:sz w:val="16"/>
          <w:szCs w:val="16"/>
        </w:rPr>
      </w:pPr>
    </w:p>
    <w:p>
      <w:pPr>
        <w:overflowPunct w:val="0"/>
        <w:autoSpaceDE w:val="0"/>
        <w:autoSpaceDN w:val="0"/>
        <w:adjustRightInd w:val="0"/>
        <w:spacing w:after="0" w:line="240" w:lineRule="auto"/>
        <w:jc w:val="both"/>
        <w:textAlignment w:val="baseline"/>
        <w:rPr>
          <w:rFonts w:ascii="Verdana" w:hAnsi="Verdana" w:eastAsia="Times New Roman"/>
          <w:b/>
          <w:sz w:val="16"/>
          <w:szCs w:val="16"/>
        </w:rPr>
      </w:pPr>
    </w:p>
    <w:p>
      <w:pPr>
        <w:overflowPunct w:val="0"/>
        <w:autoSpaceDE w:val="0"/>
        <w:autoSpaceDN w:val="0"/>
        <w:adjustRightInd w:val="0"/>
        <w:spacing w:after="0" w:line="240" w:lineRule="auto"/>
        <w:jc w:val="both"/>
        <w:textAlignment w:val="baseline"/>
        <w:rPr>
          <w:rFonts w:ascii="Verdana" w:hAnsi="Verdana" w:eastAsia="Times New Roman"/>
          <w:b/>
          <w:sz w:val="16"/>
          <w:szCs w:val="16"/>
        </w:rPr>
      </w:pPr>
    </w:p>
    <w:p>
      <w:pPr>
        <w:overflowPunct w:val="0"/>
        <w:autoSpaceDE w:val="0"/>
        <w:autoSpaceDN w:val="0"/>
        <w:adjustRightInd w:val="0"/>
        <w:spacing w:after="0" w:line="240" w:lineRule="auto"/>
        <w:jc w:val="both"/>
        <w:textAlignment w:val="baseline"/>
        <w:rPr>
          <w:rFonts w:ascii="Verdana" w:hAnsi="Verdana" w:eastAsia="Times New Roman"/>
          <w:b/>
          <w:sz w:val="16"/>
          <w:szCs w:val="16"/>
        </w:rPr>
      </w:pPr>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Wingdings">
    <w:panose1 w:val="05000000000000000000"/>
    <w:charset w:val="02"/>
    <w:family w:val="auto"/>
    <w:pitch w:val="default"/>
    <w:sig w:usb0="00000000" w:usb1="00000000" w:usb2="00000000" w:usb3="00000000" w:csb0="80000000"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Verdana">
    <w:panose1 w:val="020B0604030504040204"/>
    <w:charset w:val="00"/>
    <w:family w:val="swiss"/>
    <w:pitch w:val="default"/>
    <w:sig w:usb0="A00006FF" w:usb1="4000205B" w:usb2="00000010" w:usb3="00000000" w:csb0="2000019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2BE6801"/>
    <w:multiLevelType w:val="multilevel"/>
    <w:tmpl w:val="32BE68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746"/>
    <w:rsid w:val="00003746"/>
    <w:rsid w:val="005A691A"/>
    <w:rsid w:val="00684941"/>
    <w:rsid w:val="1E5827D2"/>
    <w:rsid w:val="31A201E4"/>
    <w:rsid w:val="756670B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uiPriority w:val="0"/>
    <w:rPr>
      <w:color w:val="0000FF"/>
      <w:u w:val="single"/>
    </w:rPr>
  </w:style>
  <w:style w:type="character" w:styleId="15">
    <w:name w:val="page number"/>
    <w:basedOn w:val="11"/>
    <w:uiPriority w:val="0"/>
  </w:style>
  <w:style w:type="paragraph" w:styleId="16">
    <w:name w:val="Body Text"/>
    <w:basedOn w:val="1"/>
    <w:link w:val="40"/>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uiPriority w:val="0"/>
    <w:rPr>
      <w:rFonts w:ascii="Arial" w:hAnsi="Arial" w:eastAsia="Times New Roman" w:cs="Times New Roman"/>
      <w:b/>
      <w:color w:val="FF0000"/>
      <w:szCs w:val="20"/>
      <w:lang w:eastAsia="pt-BR"/>
    </w:rPr>
  </w:style>
  <w:style w:type="character" w:customStyle="1" w:styleId="31">
    <w:name w:val="Título 4 Char"/>
    <w:basedOn w:val="11"/>
    <w:link w:val="5"/>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uiPriority w:val="0"/>
    <w:rPr>
      <w:rFonts w:ascii="Arial" w:hAnsi="Arial" w:eastAsia="Times New Roman" w:cs="Arial"/>
      <w:i/>
      <w:sz w:val="28"/>
      <w:szCs w:val="20"/>
      <w:lang w:eastAsia="pt-BR"/>
    </w:rPr>
  </w:style>
  <w:style w:type="character" w:customStyle="1" w:styleId="37">
    <w:name w:val="Rodapé Char"/>
    <w:basedOn w:val="11"/>
    <w:link w:val="23"/>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uiPriority w:val="0"/>
    <w:rPr>
      <w:rFonts w:ascii="Arial" w:hAnsi="Arial" w:eastAsia="Times New Roman" w:cs="Times New Roman"/>
      <w:sz w:val="24"/>
      <w:szCs w:val="24"/>
      <w:lang w:eastAsia="pt-BR"/>
    </w:rPr>
  </w:style>
  <w:style w:type="character" w:customStyle="1" w:styleId="42">
    <w:name w:val="Recuo de corpo de texto 2 Char"/>
    <w:basedOn w:val="11"/>
    <w:link w:val="18"/>
    <w:uiPriority w:val="0"/>
    <w:rPr>
      <w:rFonts w:ascii="Arial" w:hAnsi="Arial" w:eastAsia="Times New Roman" w:cs="Arial"/>
      <w:sz w:val="23"/>
      <w:szCs w:val="20"/>
      <w:lang w:eastAsia="pt-BR"/>
    </w:rPr>
  </w:style>
  <w:style w:type="character" w:customStyle="1" w:styleId="43">
    <w:name w:val="Cabeçalho Char"/>
    <w:basedOn w:val="11"/>
    <w:link w:val="22"/>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uiPriority w:val="0"/>
    <w:pPr>
      <w:ind w:left="720"/>
      <w:contextualSpacing/>
    </w:pPr>
    <w:rPr>
      <w:rFonts w:eastAsia="Times New Roman"/>
      <w:szCs w:val="20"/>
    </w:rPr>
  </w:style>
  <w:style w:type="paragraph" w:customStyle="1" w:styleId="49">
    <w:name w:val="msonormalcxspmiddlecxspmiddle"/>
    <w:basedOn w:val="1"/>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20488</Words>
  <Characters>110641</Characters>
  <Lines>922</Lines>
  <Paragraphs>261</Paragraphs>
  <TotalTime>36</TotalTime>
  <ScaleCrop>false</ScaleCrop>
  <LinksUpToDate>false</LinksUpToDate>
  <CharactersWithSpaces>130868</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2021-08-09T18:48:00Z</dcterms:created>
  <dc:creator>JAQUELINE MARIA GARCIA MASCIOLLI</dc:creator>
  <cp:lastModifiedBy>Usuario</cp:lastModifiedBy>
  <cp:lastPrinted>2021-08-18T14:29:11Z</cp:lastPrinted>
  <dcterms:modified xsi:type="dcterms:W3CDTF">2021-08-18T14:37:01Z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