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230/</w:t>
      </w:r>
      <w:r>
        <w:rPr>
          <w:rFonts w:ascii="Times New Roman" w:hAnsi="Times New Roman" w:cs="Times New Roman"/>
          <w:sz w:val="24"/>
          <w:shd w:val="clear" w:fill="auto"/>
        </w:rPr>
        <w:t>2021</w:t>
      </w:r>
    </w:p>
    <w:p>
      <w:pPr>
        <w:jc w:val="center"/>
        <w:rPr>
          <w:b/>
          <w:bCs/>
          <w:sz w:val="24"/>
          <w:szCs w:val="24"/>
        </w:rPr>
      </w:pPr>
      <w:r>
        <w:rPr>
          <w:b/>
          <w:bCs/>
          <w:sz w:val="24"/>
          <w:szCs w:val="24"/>
        </w:rPr>
        <w:t>PREGÃO PRESENCIAL N°. 128/2021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rFonts w:hint="default"/>
          <w:sz w:val="24"/>
          <w:szCs w:val="24"/>
          <w:lang w:val="pt-BR"/>
        </w:rPr>
        <w:t xml:space="preserve"> </w:t>
      </w:r>
      <w:r>
        <w:rPr>
          <w:sz w:val="24"/>
          <w:szCs w:val="24"/>
        </w:rPr>
        <w:t xml:space="preserve">do dia </w:t>
      </w:r>
      <w:r>
        <w:rPr>
          <w:rFonts w:hint="default"/>
          <w:b/>
          <w:bCs/>
          <w:sz w:val="24"/>
          <w:szCs w:val="24"/>
          <w:lang w:val="pt-BR"/>
        </w:rPr>
        <w:t>14 de outubro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CONTRATAÇÃO FUTURA DE EMPRESA ESPECIALIZADA EM SERVIÇOS DE RADIOGRAFIA PANORÂMICA CONFORME TERMO DE REFERÊNCIA, PARA ATENDER DEMANDA DO CENTRO DE ESPECIALIDADES ODONTOLÓGICAS. SOLICITAÇÃO DE SERVIÇOS Nº 248/2021 E 249/2021 DA GERÊNCIA DE SAÚDE DO MUNICÍPIO DE NAVIRAÍ - MS.</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14</w:t>
      </w:r>
      <w:r>
        <w:rPr>
          <w:b/>
          <w:sz w:val="24"/>
          <w:szCs w:val="24"/>
          <w:u w:val="single"/>
        </w:rPr>
        <w:t>/</w:t>
      </w:r>
      <w:r>
        <w:rPr>
          <w:rFonts w:hint="default"/>
          <w:b/>
          <w:sz w:val="24"/>
          <w:szCs w:val="24"/>
          <w:u w:val="single"/>
          <w:lang w:val="pt-BR"/>
        </w:rPr>
        <w:t>10</w:t>
      </w:r>
      <w:r>
        <w:rPr>
          <w:b/>
          <w:sz w:val="24"/>
          <w:szCs w:val="24"/>
          <w:u w:val="single"/>
        </w:rPr>
        <w:t>/2021</w:t>
      </w:r>
    </w:p>
    <w:p>
      <w:pPr>
        <w:jc w:val="both"/>
        <w:rPr>
          <w:rFonts w:hint="default"/>
          <w:sz w:val="24"/>
          <w:szCs w:val="24"/>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pública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início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128/2021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14</w:t>
      </w:r>
      <w:r>
        <w:rPr>
          <w:b/>
          <w:sz w:val="24"/>
          <w:szCs w:val="24"/>
          <w:u w:val="single"/>
        </w:rPr>
        <w:t>/</w:t>
      </w:r>
      <w:r>
        <w:rPr>
          <w:rFonts w:hint="default"/>
          <w:b/>
          <w:sz w:val="24"/>
          <w:szCs w:val="24"/>
          <w:u w:val="single"/>
          <w:lang w:val="pt-BR"/>
        </w:rPr>
        <w:t>10</w:t>
      </w:r>
      <w:r>
        <w:rPr>
          <w:b/>
          <w:sz w:val="24"/>
          <w:szCs w:val="24"/>
          <w:u w:val="single"/>
        </w:rPr>
        <w:t>/2021</w:t>
      </w:r>
      <w:r>
        <w:rPr>
          <w:b/>
          <w:sz w:val="24"/>
          <w:szCs w:val="24"/>
        </w:rPr>
        <w:t xml:space="preserve"> </w:t>
      </w:r>
    </w:p>
    <w:p>
      <w:pPr>
        <w:keepNext/>
        <w:numPr>
          <w:ilvl w:val="0"/>
          <w:numId w:val="0"/>
        </w:numPr>
        <w:jc w:val="both"/>
        <w:outlineLvl w:val="3"/>
        <w:rPr>
          <w:rFonts w:hint="default"/>
          <w:b/>
          <w:sz w:val="24"/>
          <w:szCs w:val="24"/>
          <w:lang w:val="en-US" w:eastAsia="pt-BR"/>
        </w:rPr>
      </w:pPr>
      <w:r>
        <w:rPr>
          <w:b/>
          <w:sz w:val="24"/>
          <w:szCs w:val="24"/>
          <w:lang w:eastAsia="pt-BR"/>
        </w:rPr>
        <w:t>HORÁRIO:</w:t>
      </w:r>
      <w:r>
        <w:rPr>
          <w:rFonts w:hint="default"/>
          <w:b/>
          <w:sz w:val="24"/>
          <w:szCs w:val="24"/>
          <w:lang w:val="en-US" w:eastAsia="pt-BR"/>
        </w:rPr>
        <w:t xml:space="preserve"> 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128/</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14</w:t>
      </w:r>
      <w:r>
        <w:rPr>
          <w:b/>
          <w:sz w:val="24"/>
          <w:szCs w:val="24"/>
          <w:u w:val="single"/>
        </w:rPr>
        <w:t>/</w:t>
      </w:r>
      <w:r>
        <w:rPr>
          <w:rFonts w:hint="default"/>
          <w:b/>
          <w:sz w:val="24"/>
          <w:szCs w:val="24"/>
          <w:u w:val="single"/>
          <w:lang w:val="pt-BR"/>
        </w:rPr>
        <w:t>10</w:t>
      </w:r>
      <w:r>
        <w:rPr>
          <w:b/>
          <w:sz w:val="24"/>
          <w:szCs w:val="24"/>
          <w:u w:val="single"/>
        </w:rPr>
        <w:t>/2021</w:t>
      </w:r>
    </w:p>
    <w:p>
      <w:pPr>
        <w:tabs>
          <w:tab w:val="left" w:pos="2835"/>
        </w:tabs>
        <w:jc w:val="both"/>
        <w:rPr>
          <w:rFonts w:hint="default"/>
          <w:b/>
          <w:sz w:val="24"/>
          <w:szCs w:val="24"/>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11h: 00min das 13h: 00min às 17h: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b/>
          <w:bCs/>
          <w:sz w:val="24"/>
          <w:szCs w:val="24"/>
        </w:rPr>
        <w:t>7.11</w:t>
      </w:r>
      <w:r>
        <w:rPr>
          <w:sz w:val="24"/>
          <w:szCs w:val="24"/>
        </w:rPr>
        <w:t xml:space="preserve"> - As propostas que eventualmente apresentarem erro de digitação de valores unitários, não serão desclassificadas.</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pStyle w:val="237"/>
        <w:tabs>
          <w:tab w:val="left" w:pos="0"/>
        </w:tabs>
        <w:ind w:left="0" w:right="0" w:firstLine="0"/>
        <w:jc w:val="both"/>
        <w:rPr>
          <w:b/>
          <w:i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R$ 43.519,00 (quarenta e três mil quinhentos e dezenove reais).</w:t>
      </w: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sz w:val="24"/>
          <w:szCs w:val="24"/>
        </w:rPr>
      </w:pPr>
    </w:p>
    <w:p>
      <w:pPr>
        <w:ind w:left="0" w:right="-142" w:firstLine="0"/>
        <w:jc w:val="both"/>
      </w:pPr>
      <w:r>
        <w:rPr>
          <w:b/>
          <w:bCs/>
          <w:sz w:val="24"/>
          <w:szCs w:val="24"/>
        </w:rPr>
        <w:t xml:space="preserve">8.2.8 </w:t>
      </w:r>
      <w:r>
        <w:rPr>
          <w:sz w:val="24"/>
          <w:szCs w:val="24"/>
        </w:rPr>
        <w:t>– Apresentar declaração do licitante que para o ato de Assinatura da Ata de Registro Preço caso seja o Adjudicatário irá apresentar:</w:t>
      </w:r>
    </w:p>
    <w:p>
      <w:pPr>
        <w:ind w:left="0" w:right="-142" w:firstLine="0"/>
        <w:jc w:val="both"/>
        <w:rPr>
          <w:sz w:val="24"/>
          <w:szCs w:val="24"/>
        </w:rPr>
      </w:pPr>
    </w:p>
    <w:p>
      <w:pPr>
        <w:ind w:left="0" w:right="-142" w:firstLine="0"/>
        <w:jc w:val="both"/>
        <w:rPr>
          <w:b/>
          <w:bCs/>
          <w:sz w:val="24"/>
          <w:szCs w:val="24"/>
        </w:rPr>
      </w:pPr>
      <w:r>
        <w:rPr>
          <w:b/>
          <w:bCs/>
          <w:sz w:val="24"/>
          <w:szCs w:val="24"/>
        </w:rPr>
        <w:t>a) Alvará de Licença para Funcionamento, expedido pelo órgão competente do município da licitante, observando sua validade.</w:t>
      </w:r>
    </w:p>
    <w:p>
      <w:pPr>
        <w:ind w:left="0" w:right="-142" w:firstLine="0"/>
        <w:jc w:val="both"/>
        <w:rPr>
          <w:b/>
          <w:bCs/>
          <w:sz w:val="24"/>
          <w:szCs w:val="24"/>
        </w:rPr>
      </w:pPr>
    </w:p>
    <w:p>
      <w:pPr>
        <w:ind w:left="0" w:right="-142" w:firstLine="0"/>
        <w:jc w:val="both"/>
        <w:rPr>
          <w:b/>
          <w:bCs/>
          <w:sz w:val="24"/>
          <w:szCs w:val="24"/>
        </w:rPr>
      </w:pPr>
      <w:r>
        <w:rPr>
          <w:b/>
          <w:bCs/>
          <w:sz w:val="24"/>
          <w:szCs w:val="24"/>
        </w:rPr>
        <w:t>b) Alvará Sanitário, expedido pelo órgão competente, observando sua validade;</w:t>
      </w:r>
    </w:p>
    <w:p>
      <w:pPr>
        <w:ind w:left="0" w:right="-142" w:firstLine="0"/>
        <w:jc w:val="both"/>
        <w:rPr>
          <w:b/>
          <w:bCs/>
          <w:sz w:val="24"/>
          <w:szCs w:val="24"/>
          <w:lang w:eastAsia="pt-BR"/>
        </w:rPr>
      </w:pPr>
    </w:p>
    <w:p>
      <w:r>
        <w:rPr>
          <w:b/>
          <w:bCs/>
          <w:sz w:val="24"/>
          <w:szCs w:val="24"/>
          <w:lang w:eastAsia="pt-BR"/>
        </w:rPr>
        <w:t>8.2.9</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8.2.10</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8.2.11</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Antônio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w:t>
      </w:r>
      <w:r>
        <w:rPr>
          <w:rFonts w:eastAsia="Times New Roman" w:cs="Times New Roman"/>
          <w:color w:val="auto"/>
          <w:sz w:val="24"/>
          <w:szCs w:val="24"/>
          <w:lang w:val="pt-BR" w:bidi="ar-SA"/>
        </w:rPr>
        <w:t>Fornecimento</w:t>
      </w:r>
      <w:r>
        <w:rPr>
          <w:sz w:val="24"/>
          <w:szCs w:val="24"/>
        </w:rPr>
        <w:t xml:space="preserve">, aquela solicitação em que o quantitativo deverá ser entregue em sua totalidade </w:t>
      </w:r>
      <w:r>
        <w:rPr>
          <w:rFonts w:eastAsia="Times New Roman" w:cs="Times New Roman"/>
          <w:color w:val="000000"/>
          <w:sz w:val="24"/>
          <w:szCs w:val="24"/>
          <w:shd w:val="clear" w:fill="auto"/>
          <w:lang w:val="pt-BR" w:bidi="ar-SA"/>
        </w:rPr>
        <w:t>conforme data que será mencionada na ordem de fornecimento</w:t>
      </w:r>
      <w:r>
        <w:rPr>
          <w:sz w:val="24"/>
          <w:szCs w:val="24"/>
          <w:shd w:val="clear" w:fill="auto"/>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DA PRESTAÇÃO DE SERVIÇOS:</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serviços licitados serão solicitados conforme a necessidade da Gerência mediante ordem de fornecimento, e os exames radiográficos deverão ser entregues no Centro de Especialidades Odontológicas no prazo de até 07 (sete) dias após a realização da Radiografia podendo ainda o prazo ser estendido conforme data mencionada na Ordem de Fornecimento.</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 xml:space="preserve">14.2 </w:t>
      </w:r>
      <w:r>
        <w:rPr>
          <w:sz w:val="24"/>
          <w:szCs w:val="24"/>
        </w:rPr>
        <w:t>– Caso a empresa adjudicatária não esteja dentro do perímetro urbano do município de Naviraí deverá ser responsável pelas despesas de ida e volta do paciente.</w:t>
      </w:r>
    </w:p>
    <w:p>
      <w:pPr>
        <w:jc w:val="both"/>
        <w:rPr>
          <w:sz w:val="24"/>
          <w:szCs w:val="24"/>
        </w:rPr>
      </w:pPr>
    </w:p>
    <w:p>
      <w:pPr>
        <w:jc w:val="both"/>
      </w:pPr>
      <w:r>
        <w:rPr>
          <w:b/>
          <w:bCs/>
          <w:sz w:val="24"/>
          <w:szCs w:val="24"/>
        </w:rPr>
        <w:t>14.3</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14.4</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14.5</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shd w:val="clear" w:fill="FFFF00"/>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jc w:val="both"/>
        <w:rPr>
          <w:sz w:val="24"/>
          <w:szCs w:val="24"/>
        </w:rPr>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b/>
          <w:color w:val="000000"/>
          <w:sz w:val="24"/>
          <w:szCs w:val="24"/>
        </w:rPr>
      </w:pPr>
    </w:p>
    <w:p>
      <w:pPr>
        <w:tabs>
          <w:tab w:val="left" w:pos="-1800"/>
        </w:tabs>
        <w:jc w:val="right"/>
      </w:pPr>
      <w:r>
        <w:rPr>
          <w:sz w:val="24"/>
          <w:szCs w:val="24"/>
        </w:rPr>
        <w:t xml:space="preserve">Naviraí - MS, </w:t>
      </w:r>
      <w:r>
        <w:rPr>
          <w:b/>
          <w:sz w:val="24"/>
          <w:szCs w:val="24"/>
        </w:rPr>
        <w:t>2</w:t>
      </w:r>
      <w:r>
        <w:rPr>
          <w:rFonts w:hint="default"/>
          <w:b/>
          <w:sz w:val="24"/>
          <w:szCs w:val="24"/>
          <w:lang w:val="pt-BR"/>
        </w:rPr>
        <w:t>2</w:t>
      </w:r>
      <w:bookmarkStart w:id="0" w:name="_GoBack"/>
      <w:bookmarkEnd w:id="0"/>
      <w:r>
        <w:rPr>
          <w:b/>
          <w:sz w:val="24"/>
          <w:szCs w:val="24"/>
        </w:rPr>
        <w:t xml:space="preserve"> de setembro de 2021.</w:t>
      </w:r>
      <w:r>
        <w:rPr>
          <w:sz w:val="24"/>
          <w:szCs w:val="24"/>
        </w:rPr>
        <w:t xml:space="preserve"> </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r>
        <w:rPr>
          <w:rFonts w:cs="Times New Roman"/>
          <w:b/>
          <w:bCs/>
          <w:i/>
          <w:szCs w:val="24"/>
          <w:lang w:eastAsia="pt-BR"/>
        </w:rPr>
        <w:drawing>
          <wp:anchor distT="0" distB="0" distL="0" distR="0" simplePos="0" relativeHeight="251659264" behindDoc="0" locked="0" layoutInCell="0" allowOverlap="1">
            <wp:simplePos x="0" y="0"/>
            <wp:positionH relativeFrom="column">
              <wp:posOffset>0</wp:posOffset>
            </wp:positionH>
            <wp:positionV relativeFrom="paragraph">
              <wp:posOffset>142875</wp:posOffset>
            </wp:positionV>
            <wp:extent cx="5789295" cy="353695"/>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6"/>
                    <a:stretch>
                      <a:fillRect/>
                    </a:stretch>
                  </pic:blipFill>
                  <pic:spPr>
                    <a:xfrm>
                      <a:off x="0" y="0"/>
                      <a:ext cx="5789295" cy="353695"/>
                    </a:xfrm>
                    <a:prstGeom prst="rect">
                      <a:avLst/>
                    </a:prstGeom>
                  </pic:spPr>
                </pic:pic>
              </a:graphicData>
            </a:graphic>
          </wp:anchor>
        </w:drawing>
      </w:r>
    </w:p>
    <w:p>
      <w:pPr>
        <w:jc w:val="both"/>
        <w:rPr>
          <w:b/>
          <w:bCs/>
          <w:sz w:val="24"/>
          <w:szCs w:val="24"/>
        </w:rPr>
      </w:pPr>
      <w:r>
        <w:rPr>
          <w:b/>
          <w:bCs/>
          <w:sz w:val="24"/>
          <w:szCs w:val="24"/>
        </w:rPr>
        <w:t>1 OBJETO: REGISTRO DE PREÇOS OBJETIVANDO A CONTRATAÇÃO FUTURA DE EMPRESA ESPECIALIZADA EM SERVIÇOS DE RADIOGRAFIA PANORÂMICA CONFORME TERMO DE REFERÊNCIA, PARA ATENDER DEMANDA DO CENTRO DE ESPECIALIDADES ODONTOLÓGICAS. SOLICITAÇÃO DE SERVIÇOS Nº 248/2021 E 249/2021 DA GERÊNCIA DE SAÚDE DO MUNICÍPIO DE NAVIRAÍ - MS.</w:t>
      </w:r>
    </w:p>
    <w:p>
      <w:pPr>
        <w:jc w:val="both"/>
        <w:rPr>
          <w:b/>
          <w:bCs/>
          <w:sz w:val="24"/>
          <w:szCs w:val="24"/>
        </w:rPr>
      </w:pPr>
    </w:p>
    <w:tbl>
      <w:tblPr>
        <w:tblStyle w:val="12"/>
        <w:tblW w:w="9195" w:type="dxa"/>
        <w:tblInd w:w="-7" w:type="dxa"/>
        <w:tblLayout w:type="fixed"/>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sz w:val="22"/>
                <w:szCs w:val="22"/>
              </w:rPr>
            </w:pPr>
            <w:r>
              <w:rPr>
                <w:rFonts w:eastAsia="Arial Unicode MS"/>
                <w:sz w:val="22"/>
                <w:szCs w:val="22"/>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sz w:val="22"/>
                <w:szCs w:val="22"/>
              </w:rPr>
            </w:pPr>
            <w:r>
              <w:rPr>
                <w:rFonts w:eastAsia="Arial Unicode MS"/>
                <w:sz w:val="22"/>
                <w:szCs w:val="22"/>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sz w:val="22"/>
                <w:szCs w:val="22"/>
              </w:rPr>
            </w:pPr>
            <w:r>
              <w:rPr>
                <w:rFonts w:eastAsia="Arial Unicode MS"/>
                <w:sz w:val="22"/>
                <w:szCs w:val="22"/>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sz w:val="22"/>
                <w:szCs w:val="22"/>
              </w:rPr>
            </w:pPr>
            <w:r>
              <w:rPr>
                <w:rFonts w:eastAsia="Arial Unicode MS"/>
                <w:sz w:val="22"/>
                <w:szCs w:val="22"/>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360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 xml:space="preserve">RADIOGRAFIA PANORÂMICA </w:t>
            </w:r>
            <w:r>
              <w:rPr>
                <w:rFonts w:eastAsia="Arial Unicode MS"/>
                <w:b/>
                <w:bCs/>
                <w:sz w:val="22"/>
                <w:szCs w:val="22"/>
              </w:rPr>
              <w:t>SEM LAUDO</w:t>
            </w:r>
            <w:r>
              <w:rPr>
                <w:rFonts w:eastAsia="Arial Unicode MS"/>
                <w:sz w:val="22"/>
                <w:szCs w:val="22"/>
              </w:rPr>
              <w:t xml:space="preserve">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1230"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240</w:t>
            </w:r>
          </w:p>
        </w:tc>
        <w:tc>
          <w:tcPr>
            <w:tcW w:w="102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 xml:space="preserve">RADIOGRAFIA PANORÂMICA </w:t>
            </w:r>
            <w:r>
              <w:rPr>
                <w:rFonts w:eastAsia="Arial Unicode MS"/>
                <w:b/>
                <w:bCs/>
                <w:sz w:val="22"/>
                <w:szCs w:val="22"/>
              </w:rPr>
              <w:t>COM LAUDO</w:t>
            </w:r>
            <w:r>
              <w:rPr>
                <w:rFonts w:eastAsia="Arial Unicode MS"/>
                <w:sz w:val="22"/>
                <w:szCs w:val="22"/>
              </w:rPr>
              <w:t xml:space="preserve"> (CONFORME TERMO DE REFERENCIA)</w:t>
            </w:r>
          </w:p>
        </w:tc>
      </w:tr>
    </w:tbl>
    <w:p>
      <w:pPr>
        <w:pStyle w:val="7"/>
        <w:rPr>
          <w:rFonts w:ascii="Times New Roman" w:hAnsi="Times New Roman" w:cs="Times New Roman"/>
          <w:b/>
          <w:bCs/>
          <w:i w:val="0"/>
          <w:szCs w:val="24"/>
        </w:rPr>
      </w:pPr>
    </w:p>
    <w:p>
      <w:pPr>
        <w:rPr>
          <w:b/>
          <w:bCs/>
          <w:sz w:val="24"/>
          <w:szCs w:val="24"/>
        </w:rPr>
      </w:pPr>
    </w:p>
    <w:p>
      <w:pPr>
        <w:rPr>
          <w:b/>
          <w:bCs/>
          <w:sz w:val="24"/>
          <w:szCs w:val="24"/>
        </w:rPr>
      </w:pPr>
      <w:r>
        <w:rPr>
          <w:b/>
          <w:bCs/>
          <w:sz w:val="24"/>
          <w:szCs w:val="24"/>
        </w:rP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6471285" cy="4925060"/>
            <wp:effectExtent l="0" t="0" r="0" b="0"/>
            <wp:wrapSquare wrapText="largest"/>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7"/>
                    <a:stretch>
                      <a:fillRect/>
                    </a:stretch>
                  </pic:blipFill>
                  <pic:spPr>
                    <a:xfrm>
                      <a:off x="0" y="0"/>
                      <a:ext cx="6471285" cy="4925060"/>
                    </a:xfrm>
                    <a:prstGeom prst="rect">
                      <a:avLst/>
                    </a:prstGeom>
                  </pic:spPr>
                </pic:pic>
              </a:graphicData>
            </a:graphic>
          </wp:anchor>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rPr>
          <w:b/>
          <w:bCs/>
          <w:sz w:val="24"/>
          <w:szCs w:val="24"/>
        </w:rP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5789295" cy="8668385"/>
            <wp:effectExtent l="0" t="0" r="0" b="0"/>
            <wp:wrapSquare wrapText="largest"/>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8"/>
                    <a:stretch>
                      <a:fillRect/>
                    </a:stretch>
                  </pic:blipFill>
                  <pic:spPr>
                    <a:xfrm>
                      <a:off x="0" y="0"/>
                      <a:ext cx="5789295" cy="8668385"/>
                    </a:xfrm>
                    <a:prstGeom prst="rect">
                      <a:avLst/>
                    </a:prstGeom>
                  </pic:spPr>
                </pic:pic>
              </a:graphicData>
            </a:graphic>
          </wp:anchor>
        </w:drawing>
      </w:r>
    </w:p>
    <w:p>
      <w:pPr>
        <w:rPr>
          <w:b/>
          <w:bCs/>
          <w:sz w:val="24"/>
          <w:szCs w:val="24"/>
        </w:rPr>
      </w:pPr>
    </w:p>
    <w:p>
      <w:pPr>
        <w:rPr>
          <w:b/>
          <w:bCs/>
          <w:sz w:val="24"/>
          <w:szCs w:val="24"/>
        </w:rPr>
      </w:pPr>
      <w:r>
        <w:rPr>
          <w:b/>
          <w:bCs/>
          <w:sz w:val="24"/>
          <w:szCs w:val="24"/>
        </w:rP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5789295" cy="8762365"/>
            <wp:effectExtent l="0" t="0" r="0" b="0"/>
            <wp:wrapSquare wrapText="largest"/>
            <wp:docPr id="4"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9"/>
                    <a:stretch>
                      <a:fillRect/>
                    </a:stretch>
                  </pic:blipFill>
                  <pic:spPr>
                    <a:xfrm>
                      <a:off x="0" y="0"/>
                      <a:ext cx="5789295" cy="8762365"/>
                    </a:xfrm>
                    <a:prstGeom prst="rect">
                      <a:avLst/>
                    </a:prstGeom>
                  </pic:spPr>
                </pic:pic>
              </a:graphicData>
            </a:graphic>
          </wp:anchor>
        </w:drawing>
      </w:r>
    </w:p>
    <w:p>
      <w:pPr>
        <w:rPr>
          <w:b/>
          <w:bCs/>
          <w:sz w:val="24"/>
          <w:szCs w:val="24"/>
        </w:rPr>
      </w:pPr>
    </w:p>
    <w:p>
      <w:pPr>
        <w:rPr>
          <w:b/>
          <w:bCs/>
          <w:sz w:val="24"/>
          <w:szCs w:val="24"/>
        </w:rPr>
      </w:pPr>
      <w:r>
        <w:rPr>
          <w:b/>
          <w:bCs/>
          <w:sz w:val="24"/>
          <w:szCs w:val="24"/>
        </w:rP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5789295" cy="8640445"/>
            <wp:effectExtent l="0" t="0" r="0" b="0"/>
            <wp:wrapSquare wrapText="largest"/>
            <wp:docPr id="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10"/>
                    <a:stretch>
                      <a:fillRect/>
                    </a:stretch>
                  </pic:blipFill>
                  <pic:spPr>
                    <a:xfrm>
                      <a:off x="0" y="0"/>
                      <a:ext cx="5789295" cy="8640445"/>
                    </a:xfrm>
                    <a:prstGeom prst="rect">
                      <a:avLst/>
                    </a:prstGeom>
                  </pic:spPr>
                </pic:pic>
              </a:graphicData>
            </a:graphic>
          </wp:anchor>
        </w:drawing>
      </w:r>
    </w:p>
    <w:p>
      <w:pPr>
        <w:rPr>
          <w:b/>
          <w:bCs/>
          <w:sz w:val="24"/>
          <w:szCs w:val="24"/>
        </w:rPr>
      </w:pPr>
    </w:p>
    <w:p>
      <w:pPr>
        <w:rPr>
          <w:b/>
          <w:bCs/>
          <w:sz w:val="24"/>
          <w:szCs w:val="24"/>
        </w:rPr>
      </w:pPr>
      <w:r>
        <w:rPr>
          <w:b/>
          <w:bCs/>
          <w:sz w:val="24"/>
          <w:szCs w:val="24"/>
        </w:rP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5789295" cy="8693150"/>
            <wp:effectExtent l="0" t="0" r="0" b="0"/>
            <wp:wrapSquare wrapText="largest"/>
            <wp:docPr id="6"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11"/>
                    <a:stretch>
                      <a:fillRect/>
                    </a:stretch>
                  </pic:blipFill>
                  <pic:spPr>
                    <a:xfrm>
                      <a:off x="0" y="0"/>
                      <a:ext cx="5789295" cy="8693150"/>
                    </a:xfrm>
                    <a:prstGeom prst="rect">
                      <a:avLst/>
                    </a:prstGeom>
                  </pic:spPr>
                </pic:pic>
              </a:graphicData>
            </a:graphic>
          </wp:anchor>
        </w:drawing>
      </w:r>
    </w:p>
    <w:p>
      <w:pPr>
        <w:rPr>
          <w:b/>
          <w:bCs/>
          <w:sz w:val="24"/>
          <w:szCs w:val="24"/>
        </w:rPr>
      </w:pPr>
    </w:p>
    <w:p>
      <w:pPr>
        <w:rPr>
          <w:b/>
          <w:bCs/>
          <w:sz w:val="24"/>
          <w:szCs w:val="24"/>
        </w:rPr>
      </w:pPr>
    </w:p>
    <w:p>
      <w:pPr>
        <w:rPr>
          <w:b/>
          <w:bCs/>
          <w:sz w:val="24"/>
          <w:szCs w:val="24"/>
        </w:rPr>
      </w:pPr>
      <w:r>
        <w:rPr>
          <w:b/>
          <w:bCs/>
          <w:sz w:val="24"/>
          <w:szCs w:val="24"/>
        </w:rP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5276215" cy="7241540"/>
            <wp:effectExtent l="0" t="0" r="0" b="0"/>
            <wp:wrapSquare wrapText="largest"/>
            <wp:docPr id="7"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pic:cNvPicPr>
                      <a:picLocks noChangeAspect="1" noChangeArrowheads="1"/>
                    </pic:cNvPicPr>
                  </pic:nvPicPr>
                  <pic:blipFill>
                    <a:blip r:embed="rId12"/>
                    <a:stretch>
                      <a:fillRect/>
                    </a:stretch>
                  </pic:blipFill>
                  <pic:spPr>
                    <a:xfrm>
                      <a:off x="0" y="0"/>
                      <a:ext cx="5276215" cy="7241540"/>
                    </a:xfrm>
                    <a:prstGeom prst="rect">
                      <a:avLst/>
                    </a:prstGeom>
                  </pic:spPr>
                </pic:pic>
              </a:graphicData>
            </a:graphic>
          </wp:anchor>
        </w:drawing>
      </w:r>
    </w:p>
    <w:p>
      <w:r>
        <w:rPr>
          <w:b/>
          <w:bCs/>
          <w:sz w:val="24"/>
          <w:szCs w:val="24"/>
        </w:rPr>
        <w:t xml:space="preserve">2 VALIDADE DA ATA DE REGISTRO DE PREÇOS: </w:t>
      </w:r>
      <w:r>
        <w:rPr>
          <w:bCs/>
          <w:sz w:val="24"/>
          <w:szCs w:val="24"/>
        </w:rPr>
        <w:t>12 (doze) meses.</w:t>
      </w:r>
    </w:p>
    <w:p>
      <w:r>
        <w:rPr>
          <w:b/>
          <w:bCs/>
          <w:sz w:val="24"/>
          <w:szCs w:val="24"/>
        </w:rPr>
        <w:t xml:space="preserve">3 PRAZO PARA A ENTREGA DOS </w:t>
      </w:r>
      <w:r>
        <w:rPr>
          <w:rFonts w:eastAsia="Times New Roman" w:cs="Times New Roman"/>
          <w:b/>
          <w:bCs/>
          <w:color w:val="auto"/>
          <w:sz w:val="24"/>
          <w:szCs w:val="24"/>
          <w:lang w:val="pt-BR" w:bidi="ar-SA"/>
        </w:rPr>
        <w:t>EXAMES</w:t>
      </w:r>
      <w:r>
        <w:rPr>
          <w:b/>
          <w:bCs/>
          <w:sz w:val="24"/>
          <w:szCs w:val="24"/>
        </w:rPr>
        <w:t xml:space="preserve">: </w:t>
      </w:r>
      <w:r>
        <w:rPr>
          <w:b w:val="0"/>
          <w:bCs w:val="0"/>
          <w:sz w:val="24"/>
          <w:szCs w:val="24"/>
        </w:rPr>
        <w:t>07</w:t>
      </w:r>
      <w:r>
        <w:rPr>
          <w:bCs/>
          <w:sz w:val="24"/>
          <w:szCs w:val="24"/>
        </w:rPr>
        <w:t xml:space="preserve"> (</w:t>
      </w:r>
      <w:r>
        <w:rPr>
          <w:rFonts w:eastAsia="Times New Roman" w:cs="Times New Roman"/>
          <w:bCs/>
          <w:color w:val="auto"/>
          <w:sz w:val="24"/>
          <w:szCs w:val="24"/>
          <w:lang w:val="pt-BR" w:bidi="ar-SA"/>
        </w:rPr>
        <w:t>sete</w:t>
      </w:r>
      <w:r>
        <w:rPr>
          <w:bCs/>
          <w:sz w:val="24"/>
          <w:szCs w:val="24"/>
        </w:rPr>
        <w:t>) dias úteis</w:t>
      </w:r>
    </w:p>
    <w:p>
      <w:r>
        <w:rPr>
          <w:b/>
          <w:bCs/>
          <w:sz w:val="24"/>
          <w:szCs w:val="24"/>
        </w:rPr>
        <w:t xml:space="preserve">5 LOCAL DE ENTREGA DOS EXAMES: </w:t>
      </w:r>
      <w:r>
        <w:rPr>
          <w:bCs/>
          <w:sz w:val="24"/>
          <w:szCs w:val="24"/>
        </w:rPr>
        <w:t>Indicado na Ordem de Fornecimento</w:t>
      </w:r>
    </w:p>
    <w:p>
      <w:pPr>
        <w:jc w:val="both"/>
      </w:pPr>
      <w:r>
        <w:rPr>
          <w:b/>
          <w:bCs/>
          <w:sz w:val="24"/>
          <w:szCs w:val="24"/>
        </w:rPr>
        <w:t xml:space="preserve">6 QUANTIDADE MÍNIMA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11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fixed"/>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128/2021</w:t>
            </w:r>
            <w:r>
              <w:rPr>
                <w:rFonts w:eastAsia="Arial Unicode MS"/>
                <w:b/>
                <w:color w:val="FF0000"/>
                <w:sz w:val="22"/>
                <w:szCs w:val="22"/>
                <w:shd w:val="clear" w:fill="FFFF00"/>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fixed"/>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360,0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 xml:space="preserve">RADIOGRAFIA PANORAMICA </w:t>
            </w:r>
            <w:r>
              <w:rPr>
                <w:rFonts w:hint="default" w:eastAsia="Arial Unicode MS"/>
                <w:b/>
                <w:bCs/>
                <w:lang w:val="pt-BR"/>
              </w:rPr>
              <w:t>SEM LAUDO</w:t>
            </w:r>
            <w:r>
              <w:rPr>
                <w:rFonts w:hint="default" w:eastAsia="Arial Unicode MS"/>
                <w:lang w:val="pt-BR"/>
              </w:rPr>
              <w:t xml:space="preserve"> </w:t>
            </w:r>
            <w:r>
              <w:rPr>
                <w:rFonts w:eastAsia="Arial Unicode MS"/>
              </w:rPr>
              <w:t>(CONFORME TERMO DE REFERENCIA)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RADIOGRAFIA PANORAMICA </w:t>
            </w:r>
            <w:r>
              <w:rPr>
                <w:rFonts w:hint="default" w:eastAsia="Arial Unicode MS"/>
                <w:b/>
                <w:bCs/>
                <w:lang w:val="pt-BR"/>
              </w:rPr>
              <w:t>COM LAUDO</w:t>
            </w:r>
            <w:r>
              <w:rPr>
                <w:rFonts w:hint="default" w:eastAsia="Arial Unicode MS"/>
                <w:lang w:val="pt-BR"/>
              </w:rPr>
              <w:t xml:space="preserve"> </w:t>
            </w:r>
            <w:r>
              <w:rPr>
                <w:rFonts w:eastAsia="Arial Unicode MS"/>
              </w:rPr>
              <w:t>(CONFORME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128/2</w:t>
      </w:r>
      <w:r>
        <w:rPr>
          <w:rFonts w:eastAsia="Arial Unicode MS"/>
          <w:b/>
          <w:sz w:val="24"/>
          <w:szCs w:val="24"/>
        </w:rPr>
        <w:t>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1111"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rPr>
          <w:b/>
          <w:bCs/>
          <w:sz w:val="24"/>
          <w:szCs w:val="24"/>
          <w:lang w:eastAsia="pt-BR"/>
        </w:rPr>
      </w:pPr>
      <w:r>
        <w:rPr>
          <w:b/>
          <w:bCs/>
          <w:sz w:val="24"/>
          <w:szCs w:val="24"/>
          <w:lang w:eastAsia="pt-BR"/>
        </w:rPr>
        <w:t xml:space="preserve">PROCESSO Nº 230/2021 </w:t>
      </w:r>
    </w:p>
    <w:p>
      <w:pPr>
        <w:jc w:val="center"/>
        <w:rPr>
          <w:b/>
          <w:bCs/>
          <w:sz w:val="24"/>
          <w:szCs w:val="24"/>
          <w:lang w:eastAsia="pt-BR"/>
        </w:rPr>
      </w:pPr>
      <w:r>
        <w:rPr>
          <w:b/>
          <w:bCs/>
          <w:sz w:val="24"/>
          <w:szCs w:val="24"/>
          <w:lang w:eastAsia="pt-BR"/>
        </w:rPr>
        <w:t>PREGÃO PRESENCIAL Nº 128/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shd w:val="clear" w:fill="FFFF00"/>
        </w:rPr>
        <w:t>com sede a Praça Prefeito Euclides Antônio Fabris n.º 343, inscrita no CGC/MF sob o n.º 03.155.934/0001-90</w:t>
      </w:r>
      <w:r>
        <w:rPr>
          <w:sz w:val="24"/>
          <w:szCs w:val="24"/>
          <w:lang w:eastAsia="pt-BR"/>
        </w:rPr>
        <w:t xml:space="preserve">, </w:t>
      </w:r>
      <w:r>
        <w:rPr>
          <w:iCs/>
          <w:sz w:val="24"/>
          <w:szCs w:val="24"/>
          <w:shd w:val="clear" w:fill="FFFF00"/>
          <w:lang w:eastAsia="pt-BR"/>
        </w:rPr>
        <w:t xml:space="preserve">por meio do Fundo Municipal de Saúde, com sede a Avenida Amélia Fukuda nº. 100, inscrito no CGC/MF sob o n.º 11.221.619/0001-42, </w:t>
      </w:r>
      <w:r>
        <w:rPr>
          <w:sz w:val="24"/>
          <w:szCs w:val="24"/>
          <w:lang w:eastAsia="pt-BR"/>
        </w:rPr>
        <w:t xml:space="preserve">neste ato representado por </w:t>
      </w:r>
      <w:r>
        <w:rPr>
          <w:iCs/>
          <w:sz w:val="24"/>
          <w:szCs w:val="24"/>
        </w:rPr>
        <w:t xml:space="preserve"> </w:t>
      </w:r>
      <w:r>
        <w:rPr>
          <w:b/>
          <w:sz w:val="24"/>
          <w:szCs w:val="24"/>
          <w:u w:val="single"/>
        </w:rPr>
        <w:t>Marcio Grei Alves Vidal de Figueiredo</w:t>
      </w:r>
      <w:r>
        <w:rPr>
          <w:sz w:val="24"/>
          <w:szCs w:val="24"/>
        </w:rPr>
        <w:t xml:space="preserve">, Gerente de Saúde e Ordenador de Despesas conforme Decreto nº. 052/2021, brasileiro, portador do CPF/MF nº. 613.705.841-72 e Cédula de Identidade RG nº. 828.899 SSP/MS, residente e domiciliado nesta cidade a Rua Riachuelo nº 450 – Centro.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128/</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CLÁUSULA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CONTRATAÇÃO FUTURA DE EMPRESA ESPECIALIZADA EM SERVIÇOS DE RADIOGRAFIA PANORÂMICA CONFORME TERMO DE REFERÊNCIA, PARA ATENDER DEMANDA DO CENTRO DE ESPECIALIDADES ODONTOLÓGICAS. SOLICITAÇÃO DE SERVIÇOS Nº 248/2021 E 249/2021 DA GERÊNCIA DE SAÚDE DO MUNICÍPIO DE NAVIRAÍ - MS.</w:t>
      </w:r>
      <w:r>
        <w:rPr>
          <w:sz w:val="24"/>
          <w:szCs w:val="24"/>
          <w:lang w:eastAsia="pt-BR"/>
        </w:rPr>
        <w:t xml:space="preserve">, conforme as especificações da proposta de preços apresentada no Pregão Presencial n° </w:t>
      </w:r>
      <w:r>
        <w:rPr>
          <w:b/>
          <w:bCs/>
          <w:sz w:val="24"/>
          <w:szCs w:val="24"/>
          <w:lang w:eastAsia="pt-BR"/>
        </w:rPr>
        <w:t>128/</w:t>
      </w:r>
      <w:r>
        <w:rPr>
          <w:b/>
          <w:sz w:val="24"/>
          <w:szCs w:val="24"/>
          <w:lang w:eastAsia="pt-BR"/>
        </w:rPr>
        <w:t>2021</w:t>
      </w:r>
      <w:r>
        <w:rPr>
          <w:sz w:val="24"/>
          <w:szCs w:val="24"/>
          <w:lang w:eastAsia="pt-BR"/>
        </w:rPr>
        <w:t xml:space="preserve">, Processo n° </w:t>
      </w:r>
      <w:r>
        <w:rPr>
          <w:b/>
          <w:bCs/>
          <w:sz w:val="24"/>
          <w:szCs w:val="24"/>
          <w:lang w:eastAsia="pt-BR"/>
        </w:rPr>
        <w:t>230/2</w:t>
      </w:r>
      <w:r>
        <w:rPr>
          <w:b/>
          <w:sz w:val="24"/>
          <w:szCs w:val="24"/>
          <w:lang w:eastAsia="pt-BR"/>
        </w:rPr>
        <w:t>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numPr>
          <w:ilvl w:val="0"/>
          <w:numId w:val="0"/>
        </w:numPr>
        <w:spacing w:before="0" w:after="0" w:line="240" w:lineRule="auto"/>
        <w:ind w:left="0" w:right="0" w:firstLine="0"/>
        <w:jc w:val="both"/>
        <w:textAlignment w:val="baseline"/>
        <w:rPr>
          <w:b/>
          <w:bCs/>
          <w:sz w:val="24"/>
          <w:szCs w:val="24"/>
          <w:lang w:eastAsia="pt-BR"/>
        </w:rPr>
      </w:pPr>
      <w:r>
        <w:rPr>
          <w:rFonts w:eastAsia="Times New Roman"/>
          <w:b/>
          <w:bCs/>
          <w:sz w:val="24"/>
          <w:szCs w:val="24"/>
          <w:lang w:eastAsia="pt-BR"/>
        </w:rPr>
        <w:t xml:space="preserve">1.2 - </w:t>
      </w:r>
      <w:r>
        <w:rPr>
          <w:rFonts w:hint="default" w:ascii="Times New Roman" w:hAnsi="Times New Roman" w:eastAsia="Times New Roman" w:cs="Times New Roman"/>
          <w:b w:val="0"/>
          <w:bCs w:val="0"/>
          <w:sz w:val="24"/>
          <w:szCs w:val="24"/>
          <w:lang w:eastAsia="pt-BR"/>
        </w:rPr>
        <w:t xml:space="preserve">O Termo de Referencia com informações detalhadas do objeto que compõe esse instrumento, esta disponível para consulta no </w:t>
      </w:r>
      <w:r>
        <w:rPr>
          <w:rFonts w:hint="default" w:ascii="Times New Roman" w:hAnsi="Times New Roman" w:eastAsia="Times New Roman" w:cs="Times New Roman"/>
          <w:b/>
          <w:bCs/>
          <w:sz w:val="24"/>
          <w:szCs w:val="24"/>
          <w:u w:val="single"/>
          <w:lang w:eastAsia="pt-BR"/>
        </w:rPr>
        <w:t xml:space="preserve">ANEXO I </w:t>
      </w:r>
      <w:r>
        <w:rPr>
          <w:rFonts w:hint="default" w:ascii="Times New Roman" w:hAnsi="Times New Roman" w:eastAsia="Times New Roman" w:cs="Times New Roman"/>
          <w:b w:val="0"/>
          <w:bCs w:val="0"/>
          <w:sz w:val="24"/>
          <w:szCs w:val="24"/>
          <w:lang w:eastAsia="pt-BR"/>
        </w:rPr>
        <w:t xml:space="preserve">do instrumento convocatório fixado no site do município </w:t>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"https://transparencia.navirai.ms.gov.br/licitacao/" \h </w:instrText>
      </w:r>
      <w:r>
        <w:rPr>
          <w:rFonts w:hint="default" w:ascii="Times New Roman" w:hAnsi="Times New Roman" w:cs="Times New Roman"/>
          <w:b w:val="0"/>
          <w:bCs w:val="0"/>
        </w:rPr>
        <w:fldChar w:fldCharType="separate"/>
      </w:r>
      <w:r>
        <w:rPr>
          <w:rStyle w:val="208"/>
          <w:rFonts w:hint="default" w:ascii="Times New Roman" w:hAnsi="Times New Roman" w:eastAsia="Times New Roman" w:cs="Times New Roman"/>
          <w:b w:val="0"/>
          <w:bCs w:val="0"/>
          <w:sz w:val="24"/>
          <w:szCs w:val="24"/>
          <w:lang w:val="ar-SA" w:eastAsia="pt-BR" w:bidi="ar-SA"/>
        </w:rPr>
        <w:t>https://transparencia.navirai.ms.gov.br/licitacao/</w:t>
      </w:r>
      <w:r>
        <w:rPr>
          <w:rStyle w:val="208"/>
          <w:rFonts w:hint="default" w:ascii="Times New Roman" w:hAnsi="Times New Roman" w:eastAsia="Times New Roman" w:cs="Times New Roman"/>
          <w:b w:val="0"/>
          <w:bCs w:val="0"/>
          <w:sz w:val="24"/>
          <w:szCs w:val="24"/>
          <w:lang w:val="ar-SA" w:eastAsia="pt-BR" w:bidi="ar-SA"/>
        </w:rPr>
        <w:fldChar w:fldCharType="end"/>
      </w:r>
    </w:p>
    <w:p>
      <w:pPr>
        <w:jc w:val="both"/>
        <w:rPr>
          <w:b/>
          <w:bCs/>
          <w:sz w:val="24"/>
          <w:szCs w:val="24"/>
          <w:lang w:eastAsia="pt-BR"/>
        </w:rPr>
      </w:pPr>
    </w:p>
    <w:tbl>
      <w:tblPr>
        <w:tblStyle w:val="12"/>
        <w:tblW w:w="9195" w:type="dxa"/>
        <w:tblInd w:w="-7" w:type="dxa"/>
        <w:tblLayout w:type="fixed"/>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sz w:val="22"/>
                <w:szCs w:val="22"/>
              </w:rPr>
            </w:pPr>
            <w:r>
              <w:rPr>
                <w:rFonts w:eastAsia="Arial Unicode MS"/>
                <w:sz w:val="22"/>
                <w:szCs w:val="22"/>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sz w:val="22"/>
                <w:szCs w:val="22"/>
              </w:rPr>
            </w:pPr>
            <w:r>
              <w:rPr>
                <w:rFonts w:eastAsia="Arial Unicode MS"/>
                <w:sz w:val="22"/>
                <w:szCs w:val="22"/>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sz w:val="22"/>
                <w:szCs w:val="22"/>
              </w:rPr>
            </w:pPr>
            <w:r>
              <w:rPr>
                <w:rFonts w:eastAsia="Arial Unicode MS"/>
                <w:sz w:val="22"/>
                <w:szCs w:val="22"/>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sz w:val="22"/>
                <w:szCs w:val="22"/>
              </w:rPr>
            </w:pPr>
            <w:r>
              <w:rPr>
                <w:rFonts w:eastAsia="Arial Unicode MS"/>
                <w:sz w:val="22"/>
                <w:szCs w:val="22"/>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360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 xml:space="preserve">RADIOGRAFIA PANORÂMICA </w:t>
            </w:r>
            <w:r>
              <w:rPr>
                <w:rFonts w:eastAsia="Arial Unicode MS"/>
                <w:b/>
                <w:bCs/>
                <w:sz w:val="22"/>
                <w:szCs w:val="22"/>
              </w:rPr>
              <w:t>SEM LAUDO</w:t>
            </w:r>
            <w:r>
              <w:rPr>
                <w:rFonts w:eastAsia="Arial Unicode MS"/>
                <w:sz w:val="22"/>
                <w:szCs w:val="22"/>
              </w:rPr>
              <w:t xml:space="preserve">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1230"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240</w:t>
            </w:r>
          </w:p>
        </w:tc>
        <w:tc>
          <w:tcPr>
            <w:tcW w:w="102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 xml:space="preserve">RADIOGRAFIA PANORÂMICA </w:t>
            </w:r>
            <w:r>
              <w:rPr>
                <w:rFonts w:eastAsia="Arial Unicode MS"/>
                <w:b/>
                <w:bCs/>
                <w:sz w:val="22"/>
                <w:szCs w:val="22"/>
              </w:rPr>
              <w:t>COM LAUDO</w:t>
            </w:r>
            <w:r>
              <w:rPr>
                <w:rFonts w:eastAsia="Arial Unicode MS"/>
                <w:sz w:val="22"/>
                <w:szCs w:val="22"/>
              </w:rPr>
              <w:t xml:space="preserve"> (CONFORME TERMO DE REFERENCIA)</w:t>
            </w:r>
          </w:p>
        </w:tc>
      </w:tr>
    </w:tbl>
    <w:p>
      <w:pPr>
        <w:jc w:val="both"/>
        <w:rPr>
          <w:b/>
          <w:bCs/>
          <w:sz w:val="24"/>
          <w:szCs w:val="24"/>
          <w:u w:val="none"/>
          <w:lang w:eastAsia="pt-BR"/>
        </w:rPr>
      </w:pPr>
    </w:p>
    <w:p>
      <w:pPr>
        <w:jc w:val="both"/>
        <w:rPr>
          <w:b/>
          <w:bCs/>
          <w:sz w:val="24"/>
          <w:szCs w:val="24"/>
          <w:u w:val="none"/>
          <w:lang w:eastAsia="pt-BR"/>
        </w:rPr>
      </w:pPr>
    </w:p>
    <w:p>
      <w:pPr>
        <w:jc w:val="both"/>
        <w:rPr>
          <w:b/>
          <w:bCs/>
          <w:sz w:val="24"/>
          <w:szCs w:val="24"/>
          <w:u w:val="none"/>
          <w:lang w:eastAsia="pt-BR"/>
        </w:rPr>
      </w:pPr>
    </w:p>
    <w:p>
      <w:pPr>
        <w:jc w:val="both"/>
        <w:rPr>
          <w:b/>
          <w:bCs/>
          <w:sz w:val="24"/>
          <w:szCs w:val="24"/>
          <w:lang w:eastAsia="pt-BR"/>
        </w:rPr>
      </w:pPr>
      <w:r>
        <w:rPr>
          <w:b/>
          <w:bCs/>
          <w:sz w:val="24"/>
          <w:szCs w:val="24"/>
          <w:u w:val="none"/>
          <w:lang w:eastAsia="pt-BR"/>
        </w:rPr>
        <w:t>CLÁUSULA SEGUNDA – DAS OBRIGAÇÕES DAS PARTES:</w:t>
      </w:r>
    </w:p>
    <w:p>
      <w:pPr>
        <w:jc w:val="both"/>
        <w:rPr>
          <w:u w:val="none"/>
        </w:rPr>
      </w:pPr>
    </w:p>
    <w:p>
      <w:pPr>
        <w:jc w:val="both"/>
        <w:rPr>
          <w:sz w:val="24"/>
          <w:szCs w:val="24"/>
          <w:lang w:eastAsia="pt-BR"/>
        </w:rPr>
      </w:pPr>
      <w:r>
        <w:rPr>
          <w:sz w:val="24"/>
          <w:szCs w:val="24"/>
          <w:u w:val="none"/>
          <w:lang w:eastAsia="pt-BR"/>
        </w:rPr>
        <w:t>2.1 – DAS OBRIGAÇÕES DO ÓRGÃO GERENCIADOR:</w:t>
      </w:r>
    </w:p>
    <w:p>
      <w:pPr>
        <w:jc w:val="both"/>
        <w:rPr>
          <w:u w:val="none"/>
        </w:rPr>
      </w:pPr>
    </w:p>
    <w:p>
      <w:pPr>
        <w:jc w:val="both"/>
        <w:rPr>
          <w:sz w:val="24"/>
          <w:szCs w:val="24"/>
          <w:lang w:eastAsia="pt-BR"/>
        </w:rPr>
      </w:pPr>
      <w:r>
        <w:rPr>
          <w:sz w:val="24"/>
          <w:szCs w:val="24"/>
          <w:u w:val="none"/>
          <w:lang w:eastAsia="pt-BR"/>
        </w:rPr>
        <w:t>2.1.1 Notificar o fornecedor registrado quanto à requisição do material mediante o envio da Ordem de Compras, a ser repassada via fax, e-mail ou retirada pessoalmente pelo fornecedor;</w:t>
      </w:r>
    </w:p>
    <w:p>
      <w:pPr>
        <w:jc w:val="both"/>
        <w:rPr>
          <w:u w:val="none"/>
        </w:rPr>
      </w:pPr>
    </w:p>
    <w:p>
      <w:pPr>
        <w:jc w:val="both"/>
        <w:rPr>
          <w:sz w:val="24"/>
          <w:szCs w:val="24"/>
          <w:lang w:eastAsia="pt-BR"/>
        </w:rPr>
      </w:pPr>
      <w:r>
        <w:rPr>
          <w:sz w:val="24"/>
          <w:szCs w:val="24"/>
          <w:u w:val="none"/>
          <w:lang w:eastAsia="pt-BR"/>
        </w:rPr>
        <w:t>2.1.2 Permitir ao pessoal da contratada o acesso ao local da entrega do objeto, desde que observadas as normas de segurança;</w:t>
      </w:r>
    </w:p>
    <w:p>
      <w:pPr>
        <w:jc w:val="both"/>
        <w:rPr>
          <w:u w:val="none"/>
        </w:rPr>
      </w:pPr>
    </w:p>
    <w:p>
      <w:pPr>
        <w:jc w:val="both"/>
        <w:rPr>
          <w:sz w:val="24"/>
          <w:szCs w:val="24"/>
          <w:lang w:eastAsia="pt-BR"/>
        </w:rPr>
      </w:pPr>
      <w:r>
        <w:rPr>
          <w:sz w:val="24"/>
          <w:szCs w:val="24"/>
          <w:u w:val="none"/>
          <w:lang w:eastAsia="pt-BR"/>
        </w:rPr>
        <w:t>2.1.3 Notificar o fornecedor de qualquer irregularidade encontrada no fornecimento do material;</w:t>
      </w:r>
    </w:p>
    <w:p>
      <w:pPr>
        <w:jc w:val="both"/>
        <w:rPr>
          <w:u w:val="none"/>
        </w:rPr>
      </w:pPr>
    </w:p>
    <w:p>
      <w:pPr>
        <w:jc w:val="both"/>
        <w:rPr>
          <w:sz w:val="24"/>
          <w:szCs w:val="24"/>
          <w:lang w:eastAsia="pt-BR"/>
        </w:rPr>
      </w:pPr>
      <w:r>
        <w:rPr>
          <w:sz w:val="24"/>
          <w:szCs w:val="24"/>
          <w:u w:val="none"/>
          <w:lang w:eastAsia="pt-BR"/>
        </w:rPr>
        <w:t>2.1.4 Efetuar os pagamentos devidos observados as condições estabelecidas nesta Ata;</w:t>
      </w:r>
    </w:p>
    <w:p>
      <w:pPr>
        <w:jc w:val="both"/>
        <w:rPr>
          <w:u w:val="none"/>
        </w:rPr>
      </w:pPr>
    </w:p>
    <w:p>
      <w:pPr>
        <w:jc w:val="both"/>
        <w:rPr>
          <w:sz w:val="24"/>
          <w:szCs w:val="24"/>
          <w:lang w:eastAsia="pt-BR"/>
        </w:rPr>
      </w:pPr>
      <w:r>
        <w:rPr>
          <w:sz w:val="24"/>
          <w:szCs w:val="24"/>
          <w:u w:val="none"/>
          <w:lang w:eastAsia="pt-BR"/>
        </w:rPr>
        <w:t>2.1.5 Promover ampla pesquisa de mercado, de forma a comprovar que os preços registrados permanecem compatíveis com os praticados no mercado.</w:t>
      </w:r>
    </w:p>
    <w:p>
      <w:pPr>
        <w:jc w:val="both"/>
        <w:rPr>
          <w:u w:val="none"/>
        </w:rPr>
      </w:pPr>
    </w:p>
    <w:p>
      <w:pPr>
        <w:jc w:val="both"/>
      </w:pPr>
      <w:r>
        <w:rPr>
          <w:b/>
          <w:bCs/>
          <w:sz w:val="24"/>
          <w:szCs w:val="24"/>
          <w:u w:val="none"/>
          <w:lang w:eastAsia="pt-BR"/>
        </w:rPr>
        <w:t xml:space="preserve">Parágrafo único </w:t>
      </w:r>
      <w:r>
        <w:rPr>
          <w:sz w:val="24"/>
          <w:szCs w:val="24"/>
          <w:u w:val="none"/>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u w:val="none"/>
        </w:rPr>
      </w:pPr>
    </w:p>
    <w:p>
      <w:pPr>
        <w:jc w:val="both"/>
      </w:pPr>
      <w:r>
        <w:rPr>
          <w:sz w:val="24"/>
          <w:szCs w:val="24"/>
          <w:u w:val="none"/>
          <w:lang w:eastAsia="pt-BR"/>
        </w:rPr>
        <w:t xml:space="preserve">2.1.6 – Efetuar a contratação, se assim for necessário, </w:t>
      </w:r>
      <w:r>
        <w:rPr>
          <w:sz w:val="24"/>
          <w:szCs w:val="24"/>
          <w:u w:val="none"/>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u w:val="none"/>
          <w:lang w:eastAsia="pt-BR"/>
        </w:rPr>
        <w:t>.</w:t>
      </w:r>
    </w:p>
    <w:p>
      <w:pPr>
        <w:jc w:val="both"/>
        <w:rPr>
          <w:u w:val="none"/>
        </w:rPr>
      </w:pPr>
    </w:p>
    <w:p>
      <w:pPr>
        <w:jc w:val="both"/>
        <w:rPr>
          <w:sz w:val="24"/>
          <w:szCs w:val="24"/>
          <w:lang w:eastAsia="pt-BR"/>
        </w:rPr>
      </w:pPr>
      <w:r>
        <w:rPr>
          <w:sz w:val="24"/>
          <w:szCs w:val="24"/>
          <w:u w:val="none"/>
          <w:lang w:eastAsia="pt-BR"/>
        </w:rPr>
        <w:t>2.2 – DAS OBRIGAÇÕES DO FORNECEDOR:</w:t>
      </w:r>
    </w:p>
    <w:p>
      <w:pPr>
        <w:jc w:val="both"/>
        <w:rPr>
          <w:u w:val="none"/>
        </w:rPr>
      </w:pPr>
    </w:p>
    <w:p>
      <w:pPr>
        <w:jc w:val="both"/>
      </w:pPr>
      <w:r>
        <w:rPr>
          <w:sz w:val="24"/>
          <w:szCs w:val="24"/>
          <w:u w:val="none"/>
          <w:lang w:eastAsia="pt-BR"/>
        </w:rPr>
        <w:t xml:space="preserve">2.2.1 Assinar esta Ata no prazo </w:t>
      </w:r>
      <w:r>
        <w:rPr>
          <w:b/>
          <w:sz w:val="24"/>
          <w:szCs w:val="24"/>
          <w:u w:val="none"/>
          <w:lang w:eastAsia="pt-BR"/>
        </w:rPr>
        <w:t>máximo</w:t>
      </w:r>
      <w:r>
        <w:rPr>
          <w:sz w:val="24"/>
          <w:szCs w:val="24"/>
          <w:u w:val="none"/>
          <w:lang w:eastAsia="pt-BR"/>
        </w:rPr>
        <w:t xml:space="preserve"> de 06 (seis) dias úteis, contado da convocação;</w:t>
      </w:r>
    </w:p>
    <w:p>
      <w:pPr>
        <w:jc w:val="both"/>
        <w:rPr>
          <w:u w:val="none"/>
        </w:rPr>
      </w:pPr>
    </w:p>
    <w:p>
      <w:pPr>
        <w:jc w:val="both"/>
        <w:rPr>
          <w:sz w:val="24"/>
          <w:szCs w:val="24"/>
          <w:lang w:eastAsia="pt-BR"/>
        </w:rPr>
      </w:pPr>
      <w:r>
        <w:rPr>
          <w:sz w:val="24"/>
          <w:szCs w:val="24"/>
          <w:u w:val="none"/>
          <w:lang w:eastAsia="pt-BR"/>
        </w:rPr>
        <w:t>2.2.2 Fornecer o material conforme especificação marca e preço registrados;</w:t>
      </w:r>
    </w:p>
    <w:p>
      <w:pPr>
        <w:jc w:val="both"/>
        <w:rPr>
          <w:u w:val="none"/>
        </w:rPr>
      </w:pPr>
    </w:p>
    <w:p>
      <w:pPr>
        <w:jc w:val="both"/>
      </w:pPr>
      <w:r>
        <w:rPr>
          <w:sz w:val="24"/>
          <w:szCs w:val="24"/>
          <w:u w:val="none"/>
          <w:lang w:eastAsia="pt-BR"/>
        </w:rPr>
        <w:t xml:space="preserve">2.2.3 Para efeito deste registro considera-se Ordem de </w:t>
      </w:r>
      <w:r>
        <w:rPr>
          <w:rFonts w:eastAsia="Times New Roman" w:cs="Times New Roman"/>
          <w:color w:val="auto"/>
          <w:sz w:val="24"/>
          <w:szCs w:val="24"/>
          <w:u w:val="none"/>
          <w:lang w:val="pt-BR" w:eastAsia="pt-BR" w:bidi="ar-SA"/>
        </w:rPr>
        <w:t>Fornecimento</w:t>
      </w:r>
      <w:r>
        <w:rPr>
          <w:sz w:val="24"/>
          <w:szCs w:val="24"/>
          <w:u w:val="none"/>
          <w:lang w:eastAsia="pt-BR"/>
        </w:rPr>
        <w:t xml:space="preserve">, aquela solicitação em que o quantitativo deverá ser entregue em sua totalidade </w:t>
      </w:r>
      <w:r>
        <w:rPr>
          <w:rFonts w:eastAsia="Times New Roman" w:cs="Times New Roman"/>
          <w:color w:val="000000"/>
          <w:sz w:val="24"/>
          <w:szCs w:val="24"/>
          <w:u w:val="none"/>
          <w:shd w:val="clear" w:fill="auto"/>
          <w:lang w:val="pt-BR" w:eastAsia="pt-BR" w:bidi="ar-SA"/>
        </w:rPr>
        <w:t>conforme data que será mencionada na ordem de fornecimento</w:t>
      </w:r>
      <w:r>
        <w:rPr>
          <w:sz w:val="24"/>
          <w:szCs w:val="24"/>
          <w:u w:val="none"/>
          <w:shd w:val="clear" w:fill="auto"/>
          <w:lang w:eastAsia="pt-BR"/>
        </w:rPr>
        <w:t>.</w:t>
      </w:r>
    </w:p>
    <w:p>
      <w:pPr>
        <w:jc w:val="both"/>
        <w:rPr>
          <w:u w:val="none"/>
        </w:rPr>
      </w:pPr>
    </w:p>
    <w:p>
      <w:pPr>
        <w:jc w:val="both"/>
        <w:rPr>
          <w:sz w:val="24"/>
          <w:szCs w:val="24"/>
          <w:lang w:eastAsia="pt-BR"/>
        </w:rPr>
      </w:pPr>
      <w:r>
        <w:rPr>
          <w:sz w:val="24"/>
          <w:szCs w:val="24"/>
          <w:u w:val="none"/>
          <w:lang w:eastAsia="pt-BR"/>
        </w:rPr>
        <w:t>2.2.4 Fornecer, sempre que solicitado, no prazo máximo de 05 (cinco) dias corridos, a contar da notificação, documentação de habilitação e qualificação cujas validades encontrem-se vencidas;</w:t>
      </w:r>
    </w:p>
    <w:p>
      <w:pPr>
        <w:jc w:val="both"/>
        <w:rPr>
          <w:u w:val="none"/>
        </w:rPr>
      </w:pPr>
    </w:p>
    <w:p>
      <w:pPr>
        <w:jc w:val="both"/>
        <w:rPr>
          <w:b/>
          <w:bCs/>
          <w:sz w:val="24"/>
          <w:szCs w:val="24"/>
          <w:lang w:eastAsia="pt-BR"/>
        </w:rPr>
      </w:pPr>
      <w:r>
        <w:rPr>
          <w:b/>
          <w:bCs/>
          <w:sz w:val="24"/>
          <w:szCs w:val="24"/>
          <w:u w:val="none"/>
          <w:lang w:eastAsia="pt-BR"/>
        </w:rPr>
        <w:t>CLÁUSULA TERCEIRA - DA VIGÊNCIA DA ATA DE REGISTRO DE PREÇOS</w:t>
      </w:r>
    </w:p>
    <w:p>
      <w:pPr>
        <w:jc w:val="both"/>
        <w:rPr>
          <w:u w:val="none"/>
        </w:rPr>
      </w:pPr>
    </w:p>
    <w:p>
      <w:pPr>
        <w:jc w:val="both"/>
      </w:pPr>
      <w:r>
        <w:rPr>
          <w:b/>
          <w:bCs/>
          <w:sz w:val="24"/>
          <w:szCs w:val="24"/>
          <w:u w:val="none"/>
          <w:lang w:eastAsia="pt-BR"/>
        </w:rPr>
        <w:t xml:space="preserve">3.1 – </w:t>
      </w:r>
      <w:r>
        <w:rPr>
          <w:sz w:val="24"/>
          <w:szCs w:val="24"/>
          <w:u w:val="none"/>
        </w:rPr>
        <w:t xml:space="preserve">O prazo de vigência da Ata de Registro de preços será de </w:t>
      </w:r>
      <w:r>
        <w:rPr>
          <w:b/>
          <w:bCs/>
          <w:sz w:val="24"/>
          <w:szCs w:val="24"/>
          <w:u w:val="none"/>
        </w:rPr>
        <w:t xml:space="preserve">12 (doze) meses </w:t>
      </w:r>
      <w:r>
        <w:rPr>
          <w:sz w:val="24"/>
          <w:szCs w:val="24"/>
          <w:u w:val="none"/>
        </w:rPr>
        <w:t>a contar da data da publicação do extrato da Ata de Registro de Preços no Diário Oficial dos Municípios</w:t>
      </w:r>
      <w:r>
        <w:rPr>
          <w:sz w:val="24"/>
          <w:szCs w:val="24"/>
          <w:u w:val="none"/>
          <w:lang w:eastAsia="pt-BR"/>
        </w:rPr>
        <w:t>.</w:t>
      </w:r>
    </w:p>
    <w:p>
      <w:pPr>
        <w:jc w:val="both"/>
        <w:rPr>
          <w:u w:val="none"/>
        </w:rPr>
      </w:pPr>
    </w:p>
    <w:p>
      <w:pPr>
        <w:jc w:val="both"/>
        <w:rPr>
          <w:b/>
          <w:bCs/>
          <w:sz w:val="24"/>
          <w:szCs w:val="24"/>
          <w:lang w:eastAsia="pt-BR"/>
        </w:rPr>
      </w:pPr>
      <w:r>
        <w:rPr>
          <w:b/>
          <w:bCs/>
          <w:sz w:val="24"/>
          <w:szCs w:val="24"/>
          <w:u w:val="none"/>
          <w:lang w:eastAsia="pt-BR"/>
        </w:rPr>
        <w:t>CLÁUSULA QUARTA - DO GERENCIAMENTO DA ATA DE REGISTRO DE PREÇOS</w:t>
      </w:r>
    </w:p>
    <w:p>
      <w:pPr>
        <w:jc w:val="both"/>
        <w:rPr>
          <w:u w:val="none"/>
        </w:rPr>
      </w:pPr>
    </w:p>
    <w:p>
      <w:pPr>
        <w:jc w:val="both"/>
      </w:pPr>
      <w:r>
        <w:rPr>
          <w:b/>
          <w:bCs/>
          <w:sz w:val="24"/>
          <w:szCs w:val="24"/>
          <w:u w:val="none"/>
          <w:lang w:eastAsia="pt-BR"/>
        </w:rPr>
        <w:t xml:space="preserve">4.1 – </w:t>
      </w:r>
      <w:r>
        <w:rPr>
          <w:sz w:val="24"/>
          <w:szCs w:val="24"/>
          <w:u w:val="none"/>
          <w:lang w:eastAsia="pt-BR"/>
        </w:rPr>
        <w:t>O gerenciamento deste Instrumento, nos aspectos operacional e contratual, caberá à Gerência Solicitante e a seu referido Gerenciador, competindo-lhe:</w:t>
      </w:r>
    </w:p>
    <w:p>
      <w:pPr>
        <w:jc w:val="both"/>
        <w:rPr>
          <w:u w:val="none"/>
        </w:rPr>
      </w:pPr>
    </w:p>
    <w:p>
      <w:pPr>
        <w:ind w:left="300" w:right="0" w:firstLine="0"/>
        <w:jc w:val="both"/>
        <w:rPr>
          <w:sz w:val="24"/>
          <w:szCs w:val="24"/>
          <w:lang w:eastAsia="pt-BR"/>
        </w:rPr>
      </w:pPr>
      <w:r>
        <w:rPr>
          <w:sz w:val="24"/>
          <w:szCs w:val="24"/>
          <w:u w:val="none"/>
          <w:lang w:eastAsia="pt-BR"/>
        </w:rPr>
        <w:t>a) efetuar controle dos fornecedores, dos preços, dos quantitativos fornecidos e das especificações do material registrado;</w:t>
      </w:r>
    </w:p>
    <w:p>
      <w:pPr>
        <w:ind w:left="300" w:right="0" w:firstLine="0"/>
        <w:jc w:val="both"/>
        <w:rPr>
          <w:u w:val="none"/>
        </w:rPr>
      </w:pPr>
    </w:p>
    <w:p>
      <w:pPr>
        <w:ind w:left="300" w:right="0" w:firstLine="0"/>
        <w:jc w:val="both"/>
        <w:rPr>
          <w:sz w:val="24"/>
          <w:szCs w:val="24"/>
          <w:lang w:eastAsia="pt-BR"/>
        </w:rPr>
      </w:pPr>
      <w:r>
        <w:rPr>
          <w:sz w:val="24"/>
          <w:szCs w:val="24"/>
          <w:u w:val="none"/>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u w:val="none"/>
        </w:rPr>
      </w:pPr>
    </w:p>
    <w:p>
      <w:pPr>
        <w:ind w:left="300" w:right="0" w:firstLine="0"/>
        <w:jc w:val="both"/>
        <w:rPr>
          <w:sz w:val="24"/>
          <w:szCs w:val="24"/>
          <w:lang w:eastAsia="pt-BR"/>
        </w:rPr>
      </w:pPr>
      <w:r>
        <w:rPr>
          <w:sz w:val="24"/>
          <w:szCs w:val="24"/>
          <w:u w:val="none"/>
          <w:lang w:eastAsia="pt-BR"/>
        </w:rPr>
        <w:t>c) notificar o fornecedor registrado, via fax ou telefone, para retirada da nota de empenho;</w:t>
      </w:r>
    </w:p>
    <w:p>
      <w:pPr>
        <w:ind w:left="300" w:right="0" w:firstLine="0"/>
        <w:jc w:val="both"/>
        <w:rPr>
          <w:u w:val="none"/>
        </w:rPr>
      </w:pPr>
    </w:p>
    <w:p>
      <w:pPr>
        <w:ind w:left="300" w:right="0" w:firstLine="0"/>
        <w:jc w:val="both"/>
        <w:rPr>
          <w:sz w:val="24"/>
          <w:szCs w:val="24"/>
          <w:lang w:eastAsia="pt-BR"/>
        </w:rPr>
      </w:pPr>
      <w:r>
        <w:rPr>
          <w:sz w:val="24"/>
          <w:szCs w:val="24"/>
          <w:u w:val="none"/>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u w:val="none"/>
        </w:rPr>
      </w:pPr>
    </w:p>
    <w:p>
      <w:pPr>
        <w:ind w:left="300" w:right="0" w:firstLine="0"/>
        <w:jc w:val="both"/>
        <w:rPr>
          <w:sz w:val="24"/>
          <w:szCs w:val="24"/>
          <w:lang w:eastAsia="pt-BR"/>
        </w:rPr>
      </w:pPr>
      <w:r>
        <w:rPr>
          <w:sz w:val="24"/>
          <w:szCs w:val="24"/>
          <w:u w:val="none"/>
          <w:lang w:eastAsia="pt-BR"/>
        </w:rPr>
        <w:t>e) conduzir eventuais procedimentos administrativos de renegociação de preços registrados, para fins de adequação às novas condições de mercado e de aplicação de penalidades;</w:t>
      </w:r>
    </w:p>
    <w:p>
      <w:pPr>
        <w:ind w:left="300" w:right="0" w:firstLine="0"/>
        <w:jc w:val="both"/>
        <w:rPr>
          <w:u w:val="none"/>
        </w:rPr>
      </w:pPr>
    </w:p>
    <w:p>
      <w:pPr>
        <w:ind w:left="300" w:right="0" w:firstLine="0"/>
        <w:jc w:val="both"/>
        <w:rPr>
          <w:sz w:val="24"/>
          <w:szCs w:val="24"/>
          <w:lang w:eastAsia="pt-BR"/>
        </w:rPr>
      </w:pPr>
      <w:r>
        <w:rPr>
          <w:sz w:val="24"/>
          <w:szCs w:val="24"/>
          <w:u w:val="none"/>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u w:val="none"/>
        </w:rPr>
      </w:pPr>
    </w:p>
    <w:p>
      <w:pPr>
        <w:jc w:val="both"/>
      </w:pPr>
      <w:r>
        <w:rPr>
          <w:b/>
          <w:bCs/>
          <w:sz w:val="24"/>
          <w:szCs w:val="24"/>
          <w:u w:val="none"/>
          <w:lang w:eastAsia="pt-BR"/>
        </w:rPr>
        <w:t xml:space="preserve">Parágrafo primeiro </w:t>
      </w:r>
      <w:r>
        <w:rPr>
          <w:sz w:val="24"/>
          <w:szCs w:val="24"/>
          <w:u w:val="none"/>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u w:val="none"/>
        </w:rPr>
      </w:pPr>
    </w:p>
    <w:p>
      <w:pPr>
        <w:jc w:val="both"/>
      </w:pPr>
      <w:r>
        <w:rPr>
          <w:b/>
          <w:bCs/>
          <w:sz w:val="24"/>
          <w:szCs w:val="24"/>
          <w:u w:val="none"/>
          <w:lang w:eastAsia="pt-BR"/>
        </w:rPr>
        <w:t xml:space="preserve">Parágrafo segundo </w:t>
      </w:r>
      <w:r>
        <w:rPr>
          <w:sz w:val="24"/>
          <w:szCs w:val="24"/>
          <w:u w:val="none"/>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u w:val="none"/>
        </w:rPr>
      </w:pPr>
    </w:p>
    <w:p>
      <w:pPr>
        <w:jc w:val="both"/>
        <w:rPr>
          <w:b/>
          <w:bCs/>
          <w:sz w:val="24"/>
          <w:szCs w:val="24"/>
          <w:lang w:eastAsia="pt-BR"/>
        </w:rPr>
      </w:pPr>
      <w:r>
        <w:rPr>
          <w:b/>
          <w:bCs/>
          <w:sz w:val="24"/>
          <w:szCs w:val="24"/>
          <w:u w:val="none"/>
          <w:lang w:eastAsia="pt-BR"/>
        </w:rPr>
        <w:t>CLÁUSULA QUINTA - DOS PREÇOS REGISTRADOS</w:t>
      </w:r>
    </w:p>
    <w:p>
      <w:pPr>
        <w:jc w:val="both"/>
        <w:rPr>
          <w:u w:val="none"/>
        </w:rPr>
      </w:pPr>
    </w:p>
    <w:p>
      <w:pPr>
        <w:jc w:val="both"/>
      </w:pPr>
      <w:r>
        <w:rPr>
          <w:b/>
          <w:bCs/>
          <w:sz w:val="24"/>
          <w:szCs w:val="24"/>
          <w:u w:val="none"/>
          <w:lang w:eastAsia="pt-BR"/>
        </w:rPr>
        <w:t xml:space="preserve">5.1 – </w:t>
      </w:r>
      <w:r>
        <w:rPr>
          <w:sz w:val="24"/>
          <w:szCs w:val="24"/>
          <w:u w:val="none"/>
          <w:lang w:eastAsia="pt-BR"/>
        </w:rPr>
        <w:t>Os preços registrados, a especificação do material, o quantitativo, as marcas, as empresas fornecedoras e o nome do representante legal são os constantes do Anexo I desta Ata.</w:t>
      </w:r>
    </w:p>
    <w:p>
      <w:pPr>
        <w:jc w:val="both"/>
        <w:rPr>
          <w:u w:val="none"/>
        </w:rPr>
      </w:pPr>
    </w:p>
    <w:p>
      <w:pPr>
        <w:jc w:val="both"/>
      </w:pPr>
      <w:r>
        <w:rPr>
          <w:b/>
          <w:bCs/>
          <w:sz w:val="24"/>
          <w:szCs w:val="24"/>
          <w:u w:val="none"/>
          <w:lang w:eastAsia="pt-BR"/>
        </w:rPr>
        <w:t xml:space="preserve">5.2 </w:t>
      </w:r>
      <w:r>
        <w:rPr>
          <w:sz w:val="24"/>
          <w:szCs w:val="24"/>
          <w:u w:val="none"/>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u w:val="none"/>
        </w:rPr>
      </w:pPr>
    </w:p>
    <w:p>
      <w:pPr>
        <w:jc w:val="both"/>
      </w:pPr>
      <w:r>
        <w:rPr>
          <w:b/>
          <w:bCs/>
          <w:sz w:val="24"/>
          <w:szCs w:val="24"/>
          <w:u w:val="none"/>
          <w:lang w:eastAsia="pt-BR"/>
        </w:rPr>
        <w:t xml:space="preserve">5.3 </w:t>
      </w:r>
      <w:r>
        <w:rPr>
          <w:sz w:val="24"/>
          <w:szCs w:val="24"/>
          <w:u w:val="none"/>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u w:val="none"/>
        </w:rPr>
      </w:pPr>
    </w:p>
    <w:p>
      <w:pPr>
        <w:jc w:val="both"/>
      </w:pPr>
      <w:r>
        <w:rPr>
          <w:b/>
          <w:bCs/>
          <w:sz w:val="24"/>
          <w:szCs w:val="24"/>
          <w:u w:val="none"/>
          <w:lang w:eastAsia="pt-BR"/>
        </w:rPr>
        <w:t xml:space="preserve">5.4 </w:t>
      </w:r>
      <w:r>
        <w:rPr>
          <w:sz w:val="24"/>
          <w:szCs w:val="24"/>
          <w:u w:val="none"/>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u w:val="none"/>
        </w:rPr>
      </w:pPr>
    </w:p>
    <w:p>
      <w:pPr>
        <w:jc w:val="both"/>
      </w:pPr>
      <w:r>
        <w:rPr>
          <w:b/>
          <w:bCs/>
          <w:sz w:val="24"/>
          <w:szCs w:val="24"/>
          <w:u w:val="none"/>
          <w:lang w:eastAsia="pt-BR"/>
        </w:rPr>
        <w:t xml:space="preserve">5.5 </w:t>
      </w:r>
      <w:r>
        <w:rPr>
          <w:sz w:val="24"/>
          <w:szCs w:val="24"/>
          <w:u w:val="none"/>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u w:val="none"/>
        </w:rPr>
      </w:pPr>
    </w:p>
    <w:p>
      <w:pPr>
        <w:jc w:val="both"/>
      </w:pPr>
      <w:r>
        <w:rPr>
          <w:b/>
          <w:bCs/>
          <w:sz w:val="24"/>
          <w:szCs w:val="24"/>
          <w:u w:val="none"/>
          <w:lang w:eastAsia="pt-BR"/>
        </w:rPr>
        <w:t xml:space="preserve">5.6 </w:t>
      </w:r>
      <w:r>
        <w:rPr>
          <w:sz w:val="24"/>
          <w:szCs w:val="24"/>
          <w:u w:val="none"/>
          <w:lang w:eastAsia="pt-BR"/>
        </w:rPr>
        <w:t>- Será considerado preço de mercado, o que for igual ou inferior à média daquele apurado pela Administração Municipal para determinado item.</w:t>
      </w:r>
    </w:p>
    <w:p>
      <w:pPr>
        <w:jc w:val="both"/>
        <w:rPr>
          <w:u w:val="none"/>
        </w:rPr>
      </w:pPr>
    </w:p>
    <w:p>
      <w:pPr>
        <w:jc w:val="both"/>
      </w:pPr>
      <w:r>
        <w:rPr>
          <w:b/>
          <w:bCs/>
          <w:sz w:val="24"/>
          <w:szCs w:val="24"/>
          <w:u w:val="none"/>
          <w:lang w:eastAsia="pt-BR"/>
        </w:rPr>
        <w:t xml:space="preserve">5.7 </w:t>
      </w:r>
      <w:r>
        <w:rPr>
          <w:sz w:val="24"/>
          <w:szCs w:val="24"/>
          <w:u w:val="none"/>
          <w:lang w:eastAsia="pt-BR"/>
        </w:rPr>
        <w:t xml:space="preserve">- As alterações de preços oriundas de revisão, no caso de desequilíbrio da equação econômico-financeira, serão publicadas trimestralmente por meio eletrônico. </w:t>
      </w:r>
    </w:p>
    <w:p>
      <w:pPr>
        <w:jc w:val="both"/>
        <w:rPr>
          <w:u w:val="none"/>
        </w:rPr>
      </w:pPr>
    </w:p>
    <w:p>
      <w:pPr>
        <w:jc w:val="both"/>
        <w:rPr>
          <w:b/>
          <w:bCs/>
          <w:sz w:val="24"/>
          <w:szCs w:val="24"/>
          <w:lang w:eastAsia="pt-BR"/>
        </w:rPr>
      </w:pPr>
      <w:r>
        <w:rPr>
          <w:b/>
          <w:bCs/>
          <w:sz w:val="24"/>
          <w:szCs w:val="24"/>
          <w:u w:val="none"/>
          <w:lang w:eastAsia="pt-BR"/>
        </w:rPr>
        <w:t>CLÁUSULA SEXTA - DO CANCELAMENTO DA ATA DE REGISTRO DE PREÇOS</w:t>
      </w:r>
    </w:p>
    <w:p>
      <w:pPr>
        <w:jc w:val="both"/>
        <w:rPr>
          <w:u w:val="none"/>
        </w:rPr>
      </w:pPr>
    </w:p>
    <w:p>
      <w:pPr>
        <w:jc w:val="both"/>
      </w:pPr>
      <w:r>
        <w:rPr>
          <w:b/>
          <w:bCs/>
          <w:sz w:val="24"/>
          <w:szCs w:val="24"/>
          <w:u w:val="none"/>
          <w:lang w:eastAsia="pt-BR"/>
        </w:rPr>
        <w:t xml:space="preserve">6.1 – </w:t>
      </w:r>
      <w:r>
        <w:rPr>
          <w:sz w:val="24"/>
          <w:szCs w:val="24"/>
          <w:u w:val="none"/>
          <w:lang w:eastAsia="pt-BR"/>
        </w:rPr>
        <w:t>Os preços registrados na presente, Ata de Registro de Preços poderão ser cancelados de pleno direito, conforme a seguir:</w:t>
      </w:r>
    </w:p>
    <w:p>
      <w:pPr>
        <w:jc w:val="both"/>
        <w:rPr>
          <w:u w:val="none"/>
        </w:rPr>
      </w:pPr>
    </w:p>
    <w:p>
      <w:pPr>
        <w:ind w:left="300" w:right="0" w:firstLine="0"/>
        <w:jc w:val="both"/>
      </w:pPr>
      <w:r>
        <w:rPr>
          <w:b/>
          <w:bCs/>
          <w:sz w:val="24"/>
          <w:szCs w:val="24"/>
          <w:u w:val="none"/>
          <w:lang w:eastAsia="pt-BR"/>
        </w:rPr>
        <w:t xml:space="preserve">I) </w:t>
      </w:r>
      <w:r>
        <w:rPr>
          <w:sz w:val="24"/>
          <w:szCs w:val="24"/>
          <w:u w:val="none"/>
          <w:lang w:eastAsia="pt-BR"/>
        </w:rPr>
        <w:t>Por iniciativa da Administração:</w:t>
      </w:r>
    </w:p>
    <w:p>
      <w:pPr>
        <w:ind w:left="300" w:right="0" w:firstLine="0"/>
        <w:jc w:val="both"/>
        <w:rPr>
          <w:u w:val="none"/>
        </w:rPr>
      </w:pPr>
    </w:p>
    <w:p>
      <w:pPr>
        <w:ind w:left="600" w:right="0" w:firstLine="0"/>
        <w:jc w:val="both"/>
        <w:rPr>
          <w:sz w:val="24"/>
          <w:szCs w:val="24"/>
          <w:lang w:eastAsia="pt-BR"/>
        </w:rPr>
      </w:pPr>
      <w:r>
        <w:rPr>
          <w:sz w:val="24"/>
          <w:szCs w:val="24"/>
          <w:u w:val="none"/>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u w:val="none"/>
        </w:rPr>
      </w:pPr>
    </w:p>
    <w:p>
      <w:pPr>
        <w:ind w:left="600" w:right="0" w:firstLine="0"/>
        <w:jc w:val="both"/>
        <w:rPr>
          <w:sz w:val="24"/>
          <w:szCs w:val="24"/>
          <w:lang w:eastAsia="pt-BR"/>
        </w:rPr>
      </w:pPr>
      <w:r>
        <w:rPr>
          <w:sz w:val="24"/>
          <w:szCs w:val="24"/>
          <w:u w:val="none"/>
          <w:lang w:eastAsia="pt-BR"/>
        </w:rPr>
        <w:t>b) se os preços registrados estiverem superiores aos praticados no mercado.</w:t>
      </w:r>
    </w:p>
    <w:p>
      <w:pPr>
        <w:ind w:left="600" w:right="0" w:firstLine="0"/>
        <w:jc w:val="both"/>
        <w:rPr>
          <w:u w:val="none"/>
        </w:rPr>
      </w:pPr>
    </w:p>
    <w:p>
      <w:pPr>
        <w:ind w:left="300" w:right="0" w:firstLine="0"/>
        <w:jc w:val="both"/>
      </w:pPr>
      <w:r>
        <w:rPr>
          <w:b/>
          <w:bCs/>
          <w:sz w:val="24"/>
          <w:szCs w:val="24"/>
          <w:u w:val="none"/>
          <w:lang w:eastAsia="pt-BR"/>
        </w:rPr>
        <w:t xml:space="preserve">II) </w:t>
      </w:r>
      <w:r>
        <w:rPr>
          <w:sz w:val="24"/>
          <w:szCs w:val="24"/>
          <w:u w:val="none"/>
          <w:lang w:eastAsia="pt-BR"/>
        </w:rPr>
        <w:t>Por iniciativa do fornecedor:</w:t>
      </w:r>
    </w:p>
    <w:p>
      <w:pPr>
        <w:jc w:val="both"/>
        <w:rPr>
          <w:u w:val="none"/>
        </w:rPr>
      </w:pPr>
    </w:p>
    <w:p>
      <w:pPr>
        <w:ind w:left="600" w:right="0" w:firstLine="0"/>
        <w:jc w:val="both"/>
        <w:rPr>
          <w:sz w:val="24"/>
          <w:szCs w:val="24"/>
          <w:lang w:eastAsia="pt-BR"/>
        </w:rPr>
      </w:pPr>
      <w:r>
        <w:rPr>
          <w:sz w:val="24"/>
          <w:szCs w:val="24"/>
          <w:u w:val="none"/>
          <w:lang w:eastAsia="pt-BR"/>
        </w:rPr>
        <w:t>a) mediante solicitação escrita, comprovando estar o fornecedor impossibilitado de cumprir os requisitos desta Ata de Registro de Preços;</w:t>
      </w:r>
    </w:p>
    <w:p>
      <w:pPr>
        <w:ind w:left="600" w:right="0" w:firstLine="0"/>
        <w:jc w:val="both"/>
        <w:rPr>
          <w:u w:val="none"/>
        </w:rPr>
      </w:pPr>
    </w:p>
    <w:p>
      <w:pPr>
        <w:ind w:left="600" w:right="0" w:firstLine="0"/>
        <w:jc w:val="both"/>
        <w:rPr>
          <w:sz w:val="24"/>
          <w:szCs w:val="24"/>
          <w:lang w:eastAsia="pt-BR"/>
        </w:rPr>
      </w:pPr>
      <w:r>
        <w:rPr>
          <w:sz w:val="24"/>
          <w:szCs w:val="24"/>
          <w:u w:val="none"/>
          <w:lang w:eastAsia="pt-BR"/>
        </w:rPr>
        <w:t>b) quando comprovada a ocorrência de qualquer das hipóteses contidas no art. 78, incisos XIV, XV e XVI, da Lei nº 8.666/93.</w:t>
      </w:r>
    </w:p>
    <w:p>
      <w:pPr>
        <w:ind w:left="600" w:right="0" w:firstLine="0"/>
        <w:jc w:val="both"/>
        <w:rPr>
          <w:u w:val="none"/>
        </w:rPr>
      </w:pPr>
    </w:p>
    <w:p>
      <w:pPr>
        <w:jc w:val="both"/>
      </w:pPr>
      <w:r>
        <w:rPr>
          <w:b/>
          <w:bCs/>
          <w:sz w:val="24"/>
          <w:szCs w:val="24"/>
          <w:u w:val="none"/>
          <w:lang w:eastAsia="pt-BR"/>
        </w:rPr>
        <w:t xml:space="preserve">6.2 - </w:t>
      </w:r>
      <w:r>
        <w:rPr>
          <w:sz w:val="24"/>
          <w:szCs w:val="24"/>
          <w:u w:val="none"/>
          <w:lang w:eastAsia="pt-BR"/>
        </w:rPr>
        <w:t>Ocorrendo cancelamento do preço registrado, o fornecedor será informado por correspondência com aviso de recebimento, a qual será juntada ao processo administrativo da presente Ata.</w:t>
      </w:r>
    </w:p>
    <w:p>
      <w:pPr>
        <w:jc w:val="both"/>
        <w:rPr>
          <w:u w:val="none"/>
        </w:rPr>
      </w:pPr>
    </w:p>
    <w:p>
      <w:pPr>
        <w:jc w:val="both"/>
      </w:pPr>
      <w:r>
        <w:rPr>
          <w:b/>
          <w:bCs/>
          <w:sz w:val="24"/>
          <w:szCs w:val="24"/>
          <w:u w:val="none"/>
          <w:lang w:eastAsia="pt-BR"/>
        </w:rPr>
        <w:t xml:space="preserve">6.3 - </w:t>
      </w:r>
      <w:r>
        <w:rPr>
          <w:sz w:val="24"/>
          <w:szCs w:val="24"/>
          <w:u w:val="none"/>
          <w:lang w:eastAsia="pt-BR"/>
        </w:rPr>
        <w:t>No caso de ser ignorado, incerto ou inacessível o endereço do fornecedor, a comunicação será feita por publicação no Diário Oficial do Estado de Mato Grosso do Sul, considerando-se cancelado o preço registrado.</w:t>
      </w:r>
    </w:p>
    <w:p>
      <w:pPr>
        <w:jc w:val="both"/>
        <w:rPr>
          <w:u w:val="none"/>
        </w:rPr>
      </w:pPr>
    </w:p>
    <w:p>
      <w:pPr>
        <w:jc w:val="both"/>
      </w:pPr>
      <w:r>
        <w:rPr>
          <w:b/>
          <w:bCs/>
          <w:sz w:val="24"/>
          <w:szCs w:val="24"/>
          <w:u w:val="none"/>
          <w:lang w:eastAsia="pt-BR"/>
        </w:rPr>
        <w:t xml:space="preserve">6.4 - </w:t>
      </w:r>
      <w:r>
        <w:rPr>
          <w:sz w:val="24"/>
          <w:szCs w:val="24"/>
          <w:u w:val="none"/>
          <w:lang w:eastAsia="pt-BR"/>
        </w:rPr>
        <w:t>A solicitação do fornecedor para cancelamento dos preços registrados poderá não ser aceita</w:t>
      </w:r>
      <w:r>
        <w:rPr>
          <w:color w:val="FF0000"/>
          <w:sz w:val="24"/>
          <w:szCs w:val="24"/>
          <w:u w:val="none"/>
          <w:lang w:eastAsia="pt-BR"/>
        </w:rPr>
        <w:t xml:space="preserve"> </w:t>
      </w:r>
      <w:r>
        <w:rPr>
          <w:sz w:val="24"/>
          <w:szCs w:val="24"/>
          <w:u w:val="none"/>
          <w:lang w:eastAsia="pt-BR"/>
        </w:rPr>
        <w:t>pela Administração Municipal, facultando-se a este, neste caso, a aplicação das penalidades previstas nesta Ata.</w:t>
      </w:r>
    </w:p>
    <w:p>
      <w:pPr>
        <w:jc w:val="both"/>
        <w:rPr>
          <w:u w:val="none"/>
        </w:rPr>
      </w:pPr>
    </w:p>
    <w:p>
      <w:pPr>
        <w:jc w:val="both"/>
      </w:pPr>
      <w:r>
        <w:rPr>
          <w:b/>
          <w:bCs/>
          <w:sz w:val="24"/>
          <w:szCs w:val="24"/>
          <w:u w:val="none"/>
          <w:lang w:eastAsia="pt-BR"/>
        </w:rPr>
        <w:t xml:space="preserve">6.5 - </w:t>
      </w:r>
      <w:r>
        <w:rPr>
          <w:sz w:val="24"/>
          <w:szCs w:val="24"/>
          <w:u w:val="none"/>
          <w:lang w:eastAsia="pt-BR"/>
        </w:rPr>
        <w:t>Havendo o cancelamento do preço registrado, cessarão todas as atividades do fornecedor relativas ao respectivo registro.</w:t>
      </w:r>
    </w:p>
    <w:p>
      <w:pPr>
        <w:jc w:val="both"/>
        <w:rPr>
          <w:u w:val="none"/>
        </w:rPr>
      </w:pPr>
    </w:p>
    <w:p>
      <w:pPr>
        <w:jc w:val="both"/>
      </w:pPr>
      <w:r>
        <w:rPr>
          <w:b/>
          <w:bCs/>
          <w:sz w:val="24"/>
          <w:szCs w:val="24"/>
          <w:u w:val="none"/>
          <w:lang w:eastAsia="pt-BR"/>
        </w:rPr>
        <w:t xml:space="preserve">6.6 - </w:t>
      </w:r>
      <w:r>
        <w:rPr>
          <w:sz w:val="24"/>
          <w:szCs w:val="24"/>
          <w:u w:val="none"/>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u w:val="none"/>
        </w:rPr>
      </w:pPr>
    </w:p>
    <w:p>
      <w:pPr>
        <w:jc w:val="both"/>
        <w:rPr>
          <w:rFonts w:hint="default"/>
          <w:b/>
          <w:bCs/>
          <w:sz w:val="24"/>
          <w:szCs w:val="24"/>
          <w:lang w:val="en-US" w:eastAsia="pt-BR"/>
        </w:rPr>
      </w:pPr>
      <w:r>
        <w:rPr>
          <w:b/>
          <w:bCs/>
          <w:sz w:val="24"/>
          <w:szCs w:val="24"/>
          <w:u w:val="none"/>
          <w:lang w:eastAsia="pt-BR"/>
        </w:rPr>
        <w:t xml:space="preserve">CLÁUSULA SÉTIMA - DO </w:t>
      </w:r>
      <w:r>
        <w:rPr>
          <w:rFonts w:hint="default"/>
          <w:b/>
          <w:bCs/>
          <w:sz w:val="24"/>
          <w:szCs w:val="24"/>
          <w:u w:val="none"/>
          <w:lang w:val="en-US" w:eastAsia="pt-BR"/>
        </w:rPr>
        <w:t>FORNECIMENTO DOS SERVIÇOS</w:t>
      </w:r>
    </w:p>
    <w:p>
      <w:pPr>
        <w:jc w:val="both"/>
        <w:rPr>
          <w:u w:val="none"/>
        </w:rPr>
      </w:pPr>
    </w:p>
    <w:p>
      <w:pPr>
        <w:jc w:val="both"/>
      </w:pPr>
      <w:r>
        <w:rPr>
          <w:b/>
          <w:bCs/>
          <w:sz w:val="24"/>
          <w:szCs w:val="24"/>
          <w:u w:val="none"/>
        </w:rPr>
        <w:t>7.1</w:t>
      </w:r>
      <w:r>
        <w:rPr>
          <w:sz w:val="24"/>
          <w:szCs w:val="24"/>
          <w:u w:val="none"/>
        </w:rPr>
        <w:t xml:space="preserve"> – Os serviços licitados serão solicitados conforme a necessidade da Gerência mediante ordem de fornecimento, e os exames radiográficos deverão ser entregues no Centro de Especialidades Odontológicas no prazo de até 07 (sete) dias após a realização da Radiografia podendo ainda o prazo ser estendido conforme data mencionada na Ordem de Fornecimento.</w:t>
      </w:r>
    </w:p>
    <w:p>
      <w:pPr>
        <w:jc w:val="both"/>
        <w:rPr>
          <w:u w:val="none"/>
        </w:rPr>
      </w:pPr>
    </w:p>
    <w:p>
      <w:pPr>
        <w:jc w:val="both"/>
      </w:pPr>
      <w:r>
        <w:rPr>
          <w:b/>
          <w:sz w:val="24"/>
          <w:szCs w:val="24"/>
          <w:u w:val="none"/>
        </w:rPr>
        <w:t xml:space="preserve">7.1.1 - </w:t>
      </w:r>
      <w:r>
        <w:rPr>
          <w:sz w:val="24"/>
          <w:szCs w:val="24"/>
          <w:u w:val="none"/>
        </w:rPr>
        <w:t>A quantidade mínima a ser solicitada para a entrega do objeto deste edital está discriminada no Anexo I do Edital.</w:t>
      </w:r>
    </w:p>
    <w:p>
      <w:pPr>
        <w:jc w:val="both"/>
        <w:rPr>
          <w:sz w:val="24"/>
          <w:szCs w:val="24"/>
          <w:u w:val="none"/>
        </w:rPr>
      </w:pPr>
    </w:p>
    <w:p>
      <w:pPr>
        <w:jc w:val="both"/>
      </w:pPr>
      <w:r>
        <w:rPr>
          <w:b/>
          <w:bCs/>
          <w:sz w:val="24"/>
          <w:szCs w:val="24"/>
          <w:u w:val="none"/>
        </w:rPr>
        <w:t xml:space="preserve">7.2 </w:t>
      </w:r>
      <w:r>
        <w:rPr>
          <w:sz w:val="24"/>
          <w:szCs w:val="24"/>
          <w:u w:val="none"/>
        </w:rPr>
        <w:t>– Caso a empresa adjudicatária não esteja dentro do perímetro urbano do município de Naviraí deverá ser responsável pelas despesas de ida e volta do paciente.</w:t>
      </w:r>
    </w:p>
    <w:p>
      <w:pPr>
        <w:jc w:val="both"/>
        <w:rPr>
          <w:u w:val="none"/>
        </w:rPr>
      </w:pPr>
    </w:p>
    <w:p>
      <w:pPr>
        <w:jc w:val="both"/>
      </w:pPr>
      <w:r>
        <w:rPr>
          <w:b/>
          <w:bCs/>
          <w:sz w:val="24"/>
          <w:szCs w:val="24"/>
          <w:u w:val="none"/>
        </w:rPr>
        <w:t>7.3</w:t>
      </w:r>
      <w:r>
        <w:rPr>
          <w:sz w:val="24"/>
          <w:szCs w:val="24"/>
          <w:u w:val="none"/>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u w:val="none"/>
        </w:rPr>
      </w:pPr>
    </w:p>
    <w:p>
      <w:pPr>
        <w:jc w:val="both"/>
      </w:pPr>
      <w:r>
        <w:rPr>
          <w:b/>
          <w:bCs/>
          <w:sz w:val="24"/>
          <w:szCs w:val="24"/>
          <w:u w:val="none"/>
        </w:rPr>
        <w:t>7.4</w:t>
      </w:r>
      <w:r>
        <w:rPr>
          <w:sz w:val="24"/>
          <w:szCs w:val="24"/>
          <w:u w:val="none"/>
        </w:rPr>
        <w:t xml:space="preserve"> – A licitante vencedora ficará obrigada a trocar as suas expensas o material que vier a ser recusado sendo que ato de recebimento não importará sua aceitação.</w:t>
      </w:r>
    </w:p>
    <w:p>
      <w:pPr>
        <w:jc w:val="both"/>
        <w:rPr>
          <w:u w:val="none"/>
        </w:rPr>
      </w:pPr>
    </w:p>
    <w:p>
      <w:pPr>
        <w:jc w:val="both"/>
      </w:pPr>
      <w:r>
        <w:rPr>
          <w:b/>
          <w:bCs/>
          <w:sz w:val="24"/>
          <w:szCs w:val="24"/>
          <w:u w:val="none"/>
        </w:rPr>
        <w:t>7.5</w:t>
      </w:r>
      <w:r>
        <w:rPr>
          <w:sz w:val="24"/>
          <w:szCs w:val="24"/>
          <w:u w:val="none"/>
        </w:rPr>
        <w:t xml:space="preserve"> – Independentemente da aceitação, a adjudicatária garantirá a qualidade dos materiais obrigando-se a repor aquele que apresentar defeito ou for entregue em desacordo com o apresentado na proposta.</w:t>
      </w:r>
    </w:p>
    <w:p>
      <w:pPr>
        <w:jc w:val="both"/>
        <w:rPr>
          <w:u w:val="none"/>
        </w:rPr>
      </w:pPr>
    </w:p>
    <w:p>
      <w:pPr>
        <w:jc w:val="both"/>
      </w:pPr>
      <w:r>
        <w:rPr>
          <w:b/>
          <w:bCs/>
          <w:sz w:val="24"/>
          <w:szCs w:val="24"/>
          <w:u w:val="none"/>
          <w:lang w:eastAsia="pt-BR"/>
        </w:rPr>
        <w:t xml:space="preserve">Parágrafo único - </w:t>
      </w:r>
      <w:r>
        <w:rPr>
          <w:sz w:val="24"/>
          <w:szCs w:val="24"/>
          <w:u w:val="none"/>
          <w:lang w:eastAsia="pt-BR"/>
        </w:rPr>
        <w:t>O recebimento provisório ou definitivo não exclui as responsabilidades civis e penais da CONTRATADA.</w:t>
      </w:r>
    </w:p>
    <w:p>
      <w:pPr>
        <w:jc w:val="both"/>
        <w:rPr>
          <w:u w:val="none"/>
        </w:rPr>
      </w:pPr>
    </w:p>
    <w:p>
      <w:pPr>
        <w:jc w:val="both"/>
        <w:rPr>
          <w:b/>
          <w:bCs/>
          <w:sz w:val="24"/>
          <w:szCs w:val="24"/>
          <w:lang w:eastAsia="pt-BR"/>
        </w:rPr>
      </w:pPr>
      <w:r>
        <w:rPr>
          <w:b/>
          <w:bCs/>
          <w:sz w:val="24"/>
          <w:szCs w:val="24"/>
          <w:u w:val="none"/>
          <w:lang w:eastAsia="pt-BR"/>
        </w:rPr>
        <w:t>CLÁUSULA OITAVA - DO PAGAMENTO</w:t>
      </w:r>
    </w:p>
    <w:p>
      <w:pPr>
        <w:jc w:val="both"/>
        <w:rPr>
          <w:u w:val="none"/>
        </w:rPr>
      </w:pPr>
    </w:p>
    <w:p>
      <w:pPr>
        <w:jc w:val="both"/>
      </w:pPr>
      <w:r>
        <w:rPr>
          <w:b/>
          <w:iCs/>
          <w:sz w:val="24"/>
          <w:szCs w:val="24"/>
          <w:u w:val="none"/>
        </w:rPr>
        <w:t>8.1</w:t>
      </w:r>
      <w:r>
        <w:rPr>
          <w:iCs/>
          <w:sz w:val="24"/>
          <w:szCs w:val="24"/>
          <w:u w:val="none"/>
        </w:rPr>
        <w:t xml:space="preserve"> </w:t>
      </w:r>
      <w:r>
        <w:rPr>
          <w:b/>
          <w:iCs/>
          <w:sz w:val="24"/>
          <w:szCs w:val="24"/>
          <w:u w:val="none"/>
        </w:rPr>
        <w:t>–</w:t>
      </w:r>
      <w:r>
        <w:rPr>
          <w:iCs/>
          <w:sz w:val="24"/>
          <w:szCs w:val="24"/>
          <w:u w:val="none"/>
        </w:rPr>
        <w:t xml:space="preserve"> </w:t>
      </w:r>
      <w:r>
        <w:rPr>
          <w:sz w:val="24"/>
          <w:szCs w:val="24"/>
          <w:u w:val="none"/>
        </w:rPr>
        <w:t xml:space="preserve">O pagamento só será efetuado após a comprovação pela contratada de que se encontra em dia com suas obrigações, mantendo as mesmas condições habilitatórias: </w:t>
      </w:r>
    </w:p>
    <w:p>
      <w:pPr>
        <w:ind w:left="1701" w:right="-96" w:firstLine="0"/>
        <w:jc w:val="both"/>
        <w:rPr>
          <w:u w:val="none"/>
        </w:rPr>
      </w:pPr>
    </w:p>
    <w:p>
      <w:pPr>
        <w:ind w:left="567" w:right="-96" w:hanging="567"/>
        <w:jc w:val="both"/>
      </w:pPr>
      <w:r>
        <w:rPr>
          <w:b/>
          <w:iCs/>
          <w:sz w:val="24"/>
          <w:szCs w:val="24"/>
          <w:u w:val="none"/>
        </w:rPr>
        <w:t>8.1</w:t>
      </w:r>
      <w:r>
        <w:rPr>
          <w:b/>
          <w:bCs/>
          <w:sz w:val="24"/>
          <w:szCs w:val="24"/>
          <w:u w:val="none"/>
        </w:rPr>
        <w:t xml:space="preserve">.1 </w:t>
      </w:r>
      <w:r>
        <w:rPr>
          <w:sz w:val="24"/>
          <w:szCs w:val="24"/>
          <w:u w:val="none"/>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u w:val="none"/>
        </w:rPr>
      </w:pPr>
    </w:p>
    <w:p>
      <w:pPr>
        <w:ind w:left="567" w:right="-96" w:hanging="567"/>
        <w:jc w:val="both"/>
      </w:pPr>
      <w:r>
        <w:rPr>
          <w:b/>
          <w:iCs/>
          <w:sz w:val="24"/>
          <w:szCs w:val="24"/>
          <w:u w:val="none"/>
        </w:rPr>
        <w:t>8.1</w:t>
      </w:r>
      <w:r>
        <w:rPr>
          <w:b/>
          <w:bCs/>
          <w:sz w:val="24"/>
          <w:szCs w:val="24"/>
          <w:u w:val="none"/>
        </w:rPr>
        <w:t>.2</w:t>
      </w:r>
      <w:r>
        <w:rPr>
          <w:sz w:val="24"/>
          <w:szCs w:val="24"/>
          <w:u w:val="none"/>
        </w:rPr>
        <w:t xml:space="preserve"> Prova de regularidade para com a Fazenda Estadual por meio da apresentação de Certidão Negativa ou Positiva com efeito de Negativa;</w:t>
      </w:r>
    </w:p>
    <w:p>
      <w:pPr>
        <w:ind w:left="567" w:right="-96" w:hanging="567"/>
        <w:jc w:val="both"/>
        <w:rPr>
          <w:u w:val="none"/>
        </w:rPr>
      </w:pPr>
    </w:p>
    <w:p>
      <w:pPr>
        <w:ind w:left="567" w:right="-96" w:hanging="567"/>
        <w:jc w:val="both"/>
      </w:pPr>
      <w:r>
        <w:rPr>
          <w:b/>
          <w:iCs/>
          <w:sz w:val="24"/>
          <w:szCs w:val="24"/>
          <w:u w:val="none"/>
        </w:rPr>
        <w:t>8.1</w:t>
      </w:r>
      <w:r>
        <w:rPr>
          <w:b/>
          <w:bCs/>
          <w:sz w:val="24"/>
          <w:szCs w:val="24"/>
          <w:u w:val="none"/>
        </w:rPr>
        <w:t xml:space="preserve">.3 </w:t>
      </w:r>
      <w:r>
        <w:rPr>
          <w:sz w:val="24"/>
          <w:szCs w:val="24"/>
          <w:u w:val="none"/>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u w:val="none"/>
        </w:rPr>
      </w:pPr>
    </w:p>
    <w:p>
      <w:pPr>
        <w:ind w:left="567" w:right="-96" w:hanging="567"/>
        <w:jc w:val="both"/>
      </w:pPr>
      <w:r>
        <w:rPr>
          <w:b/>
          <w:iCs/>
          <w:sz w:val="24"/>
          <w:szCs w:val="24"/>
          <w:u w:val="none"/>
        </w:rPr>
        <w:t>8.1</w:t>
      </w:r>
      <w:r>
        <w:rPr>
          <w:b/>
          <w:bCs/>
          <w:sz w:val="24"/>
          <w:szCs w:val="24"/>
          <w:u w:val="none"/>
        </w:rPr>
        <w:t xml:space="preserve">.4 </w:t>
      </w:r>
      <w:r>
        <w:rPr>
          <w:bCs/>
          <w:sz w:val="24"/>
          <w:szCs w:val="24"/>
          <w:u w:val="none"/>
        </w:rPr>
        <w:t>Certificado de Regularidade do FGTS (CRF), emitido pelo órgão competente, da localidade de domicílio ou sede da empresa proponente, na forma da Lei</w:t>
      </w:r>
      <w:r>
        <w:rPr>
          <w:sz w:val="24"/>
          <w:szCs w:val="24"/>
          <w:u w:val="none"/>
        </w:rPr>
        <w:t>.</w:t>
      </w:r>
    </w:p>
    <w:p>
      <w:pPr>
        <w:ind w:left="567" w:right="-96" w:hanging="567"/>
        <w:jc w:val="both"/>
        <w:rPr>
          <w:u w:val="none"/>
        </w:rPr>
      </w:pPr>
    </w:p>
    <w:p>
      <w:pPr>
        <w:ind w:left="567" w:right="-96" w:hanging="567"/>
        <w:jc w:val="both"/>
      </w:pPr>
      <w:r>
        <w:rPr>
          <w:b/>
          <w:iCs/>
          <w:sz w:val="24"/>
          <w:szCs w:val="24"/>
          <w:u w:val="none"/>
        </w:rPr>
        <w:t>8.1</w:t>
      </w:r>
      <w:r>
        <w:rPr>
          <w:b/>
          <w:bCs/>
          <w:sz w:val="24"/>
          <w:szCs w:val="24"/>
          <w:u w:val="none"/>
        </w:rPr>
        <w:t>.5</w:t>
      </w:r>
      <w:r>
        <w:rPr>
          <w:sz w:val="24"/>
          <w:szCs w:val="24"/>
          <w:u w:val="none"/>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u w:val="none"/>
        </w:rPr>
      </w:pPr>
    </w:p>
    <w:p>
      <w:pPr>
        <w:jc w:val="both"/>
      </w:pPr>
      <w:r>
        <w:rPr>
          <w:b/>
          <w:bCs/>
          <w:sz w:val="24"/>
          <w:szCs w:val="24"/>
          <w:u w:val="none"/>
          <w:lang w:eastAsia="pt-BR"/>
        </w:rPr>
        <w:t xml:space="preserve">Parágrafo único - </w:t>
      </w:r>
      <w:r>
        <w:rPr>
          <w:sz w:val="24"/>
          <w:szCs w:val="24"/>
          <w:u w:val="none"/>
          <w:lang w:eastAsia="pt-BR"/>
        </w:rPr>
        <w:t>Nenhum pagamento será efetuado ao fornecedor enquanto pendente de liquidação qualquer obrigação. Esse fato não será gerador de direito a reajustamento de preços ou a atualização monetária.</w:t>
      </w:r>
    </w:p>
    <w:p>
      <w:pPr>
        <w:jc w:val="both"/>
        <w:rPr>
          <w:u w:val="none"/>
        </w:rPr>
      </w:pPr>
    </w:p>
    <w:p>
      <w:pPr>
        <w:jc w:val="both"/>
        <w:rPr>
          <w:b/>
          <w:bCs/>
          <w:sz w:val="24"/>
          <w:szCs w:val="24"/>
          <w:lang w:eastAsia="pt-BR"/>
        </w:rPr>
      </w:pPr>
      <w:r>
        <w:rPr>
          <w:b/>
          <w:bCs/>
          <w:sz w:val="24"/>
          <w:szCs w:val="24"/>
          <w:u w:val="none"/>
          <w:lang w:eastAsia="pt-BR"/>
        </w:rPr>
        <w:t>CLÁUSULA NONA - DA ATUALIZAÇÃO MONETÁRIA</w:t>
      </w:r>
    </w:p>
    <w:p>
      <w:pPr>
        <w:jc w:val="both"/>
        <w:rPr>
          <w:u w:val="none"/>
        </w:rPr>
      </w:pPr>
    </w:p>
    <w:p>
      <w:pPr>
        <w:jc w:val="both"/>
      </w:pPr>
      <w:r>
        <w:rPr>
          <w:b/>
          <w:bCs/>
          <w:sz w:val="24"/>
          <w:szCs w:val="24"/>
          <w:u w:val="none"/>
          <w:lang w:eastAsia="pt-BR"/>
        </w:rPr>
        <w:t xml:space="preserve">9.1 </w:t>
      </w:r>
      <w:r>
        <w:rPr>
          <w:sz w:val="24"/>
          <w:szCs w:val="24"/>
          <w:u w:val="none"/>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u w:val="none"/>
        </w:rPr>
        <w:t xml:space="preserve">IPCA </w:t>
      </w:r>
      <w:r>
        <w:rPr>
          <w:rFonts w:ascii="Palatino;Book Antiqua" w:hAnsi="Palatino;Book Antiqua" w:cs="Palatino;Book Antiqua"/>
          <w:sz w:val="22"/>
          <w:u w:val="none"/>
        </w:rPr>
        <w:t xml:space="preserve"> (Índice acumulado nos últimos doze meses)</w:t>
      </w:r>
      <w:r>
        <w:rPr>
          <w:sz w:val="24"/>
          <w:szCs w:val="24"/>
          <w:u w:val="none"/>
          <w:lang w:eastAsia="pt-BR"/>
        </w:rPr>
        <w:t>, ocorrida entre a data final prevista para o pagamento e a data de sua efetiva realização.</w:t>
      </w:r>
    </w:p>
    <w:p>
      <w:pPr>
        <w:jc w:val="both"/>
        <w:rPr>
          <w:u w:val="none"/>
        </w:rPr>
      </w:pPr>
    </w:p>
    <w:p>
      <w:pPr>
        <w:jc w:val="both"/>
        <w:rPr>
          <w:b/>
          <w:bCs/>
          <w:sz w:val="24"/>
          <w:szCs w:val="24"/>
          <w:lang w:eastAsia="pt-BR"/>
        </w:rPr>
      </w:pPr>
      <w:r>
        <w:rPr>
          <w:b/>
          <w:bCs/>
          <w:sz w:val="24"/>
          <w:szCs w:val="24"/>
          <w:u w:val="none"/>
          <w:lang w:eastAsia="pt-BR"/>
        </w:rPr>
        <w:t>CLÁUSULA DÉCIMA - DAS SANÇÕES</w:t>
      </w:r>
    </w:p>
    <w:p>
      <w:pPr>
        <w:jc w:val="both"/>
        <w:rPr>
          <w:u w:val="none"/>
        </w:rPr>
      </w:pPr>
    </w:p>
    <w:p>
      <w:pPr>
        <w:jc w:val="both"/>
      </w:pPr>
      <w:r>
        <w:rPr>
          <w:b/>
          <w:bCs/>
          <w:sz w:val="24"/>
          <w:szCs w:val="24"/>
          <w:u w:val="none"/>
        </w:rPr>
        <w:t>10.1</w:t>
      </w:r>
      <w:r>
        <w:rPr>
          <w:sz w:val="24"/>
          <w:szCs w:val="24"/>
          <w:u w:val="none"/>
        </w:rPr>
        <w:t xml:space="preserve"> – Nos termos do art. 86 da Lei n. 8.666/93, fica estipulado o percentual de </w:t>
      </w:r>
      <w:r>
        <w:rPr>
          <w:b/>
          <w:bCs/>
          <w:sz w:val="24"/>
          <w:szCs w:val="24"/>
          <w:u w:val="none"/>
        </w:rPr>
        <w:t>0,5% (meio por cento)</w:t>
      </w:r>
      <w:r>
        <w:rPr>
          <w:bCs/>
          <w:sz w:val="24"/>
          <w:szCs w:val="24"/>
          <w:u w:val="none"/>
        </w:rPr>
        <w:t xml:space="preserve"> sobre o valor inadimplido, a título de multa de mora, por dia de atraso injustificado no fornecimento do objeto deste pregão, até o limite de </w:t>
      </w:r>
      <w:r>
        <w:rPr>
          <w:b/>
          <w:bCs/>
          <w:sz w:val="24"/>
          <w:szCs w:val="24"/>
          <w:u w:val="none"/>
        </w:rPr>
        <w:t>10% (dez por</w:t>
      </w:r>
      <w:r>
        <w:rPr>
          <w:b/>
          <w:sz w:val="24"/>
          <w:szCs w:val="24"/>
          <w:u w:val="none"/>
        </w:rPr>
        <w:t xml:space="preserve"> </w:t>
      </w:r>
      <w:r>
        <w:rPr>
          <w:b/>
          <w:bCs/>
          <w:sz w:val="24"/>
          <w:szCs w:val="24"/>
          <w:u w:val="none"/>
        </w:rPr>
        <w:t>cento)</w:t>
      </w:r>
      <w:r>
        <w:rPr>
          <w:b/>
          <w:sz w:val="24"/>
          <w:szCs w:val="24"/>
          <w:u w:val="none"/>
        </w:rPr>
        <w:t xml:space="preserve"> </w:t>
      </w:r>
      <w:r>
        <w:rPr>
          <w:sz w:val="24"/>
          <w:szCs w:val="24"/>
          <w:u w:val="none"/>
        </w:rPr>
        <w:t xml:space="preserve">do valor empenhado. </w:t>
      </w:r>
    </w:p>
    <w:p>
      <w:pPr>
        <w:jc w:val="both"/>
        <w:rPr>
          <w:u w:val="none"/>
        </w:rPr>
      </w:pPr>
    </w:p>
    <w:p>
      <w:pPr>
        <w:jc w:val="both"/>
      </w:pPr>
      <w:r>
        <w:rPr>
          <w:b/>
          <w:bCs/>
          <w:sz w:val="24"/>
          <w:szCs w:val="24"/>
          <w:u w:val="none"/>
          <w:lang w:eastAsia="pt-BR"/>
        </w:rPr>
        <w:t>10.2.</w:t>
      </w:r>
      <w:r>
        <w:rPr>
          <w:sz w:val="24"/>
          <w:szCs w:val="24"/>
          <w:u w:val="none"/>
          <w:lang w:eastAsia="pt-BR"/>
        </w:rPr>
        <w:t xml:space="preserve"> </w:t>
      </w:r>
      <w:r>
        <w:rPr>
          <w:bCs/>
          <w:sz w:val="24"/>
          <w:szCs w:val="24"/>
          <w:u w:val="none"/>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u w:val="none"/>
        </w:rPr>
      </w:pPr>
    </w:p>
    <w:p>
      <w:pPr>
        <w:ind w:left="360" w:right="0" w:firstLine="0"/>
        <w:jc w:val="both"/>
        <w:rPr>
          <w:bCs/>
          <w:sz w:val="24"/>
          <w:szCs w:val="24"/>
          <w:lang w:eastAsia="pt-BR"/>
        </w:rPr>
      </w:pPr>
      <w:r>
        <w:rPr>
          <w:bCs/>
          <w:sz w:val="24"/>
          <w:szCs w:val="24"/>
          <w:u w:val="none"/>
          <w:lang w:eastAsia="pt-BR"/>
        </w:rPr>
        <w:t xml:space="preserve">I - advertência; </w:t>
      </w:r>
    </w:p>
    <w:p>
      <w:pPr>
        <w:ind w:left="360" w:right="0" w:firstLine="0"/>
        <w:jc w:val="both"/>
        <w:rPr>
          <w:u w:val="none"/>
        </w:rPr>
      </w:pPr>
    </w:p>
    <w:p>
      <w:pPr>
        <w:ind w:left="360" w:right="0" w:firstLine="0"/>
        <w:jc w:val="both"/>
      </w:pPr>
      <w:r>
        <w:rPr>
          <w:bCs/>
          <w:sz w:val="24"/>
          <w:szCs w:val="24"/>
          <w:u w:val="none"/>
          <w:lang w:eastAsia="pt-BR"/>
        </w:rPr>
        <w:t xml:space="preserve">II - multa de </w:t>
      </w:r>
      <w:r>
        <w:rPr>
          <w:b/>
          <w:sz w:val="24"/>
          <w:szCs w:val="24"/>
          <w:u w:val="none"/>
          <w:lang w:eastAsia="pt-BR"/>
        </w:rPr>
        <w:t>10% (dez por cento</w:t>
      </w:r>
      <w:r>
        <w:rPr>
          <w:bCs/>
          <w:sz w:val="24"/>
          <w:szCs w:val="24"/>
          <w:u w:val="none"/>
          <w:lang w:eastAsia="pt-BR"/>
        </w:rPr>
        <w:t>) do valor do contrato</w:t>
      </w:r>
      <w:r>
        <w:rPr>
          <w:b/>
          <w:sz w:val="24"/>
          <w:szCs w:val="24"/>
          <w:u w:val="none"/>
          <w:lang w:eastAsia="pt-BR"/>
        </w:rPr>
        <w:t>,</w:t>
      </w:r>
    </w:p>
    <w:p>
      <w:pPr>
        <w:ind w:left="360" w:right="0" w:firstLine="0"/>
        <w:jc w:val="both"/>
        <w:rPr>
          <w:u w:val="none"/>
        </w:rPr>
      </w:pPr>
    </w:p>
    <w:p>
      <w:pPr>
        <w:ind w:left="360" w:right="0" w:firstLine="0"/>
        <w:jc w:val="both"/>
      </w:pPr>
      <w:r>
        <w:rPr>
          <w:bCs/>
          <w:sz w:val="24"/>
          <w:szCs w:val="24"/>
          <w:u w:val="none"/>
          <w:lang w:eastAsia="pt-BR"/>
        </w:rPr>
        <w:t xml:space="preserve">III – suspensão temporária de participar de licitação e impedimento de contratar com a Administração por prazo não superior a </w:t>
      </w:r>
      <w:r>
        <w:rPr>
          <w:b/>
          <w:sz w:val="24"/>
          <w:szCs w:val="24"/>
          <w:u w:val="none"/>
          <w:lang w:eastAsia="pt-BR"/>
        </w:rPr>
        <w:t>02 (dois)</w:t>
      </w:r>
      <w:r>
        <w:rPr>
          <w:bCs/>
          <w:sz w:val="24"/>
          <w:szCs w:val="24"/>
          <w:u w:val="none"/>
          <w:lang w:eastAsia="pt-BR"/>
        </w:rPr>
        <w:t xml:space="preserve"> anos e,</w:t>
      </w:r>
    </w:p>
    <w:p>
      <w:pPr>
        <w:ind w:left="360" w:right="0" w:firstLine="0"/>
        <w:jc w:val="both"/>
        <w:rPr>
          <w:u w:val="none"/>
        </w:rPr>
      </w:pPr>
    </w:p>
    <w:p>
      <w:pPr>
        <w:ind w:left="360" w:right="0" w:firstLine="0"/>
        <w:jc w:val="both"/>
        <w:rPr>
          <w:bCs/>
          <w:sz w:val="24"/>
          <w:szCs w:val="24"/>
          <w:lang w:eastAsia="pt-BR"/>
        </w:rPr>
      </w:pPr>
      <w:r>
        <w:rPr>
          <w:bCs/>
          <w:sz w:val="24"/>
          <w:szCs w:val="24"/>
          <w:u w:val="none"/>
          <w:lang w:eastAsia="pt-BR"/>
        </w:rPr>
        <w:t>IV - declaração de inidoneidade para licitar ou contratar com a Administração Pública.</w:t>
      </w:r>
    </w:p>
    <w:p>
      <w:pPr>
        <w:jc w:val="both"/>
        <w:rPr>
          <w:u w:val="none"/>
        </w:rPr>
      </w:pPr>
    </w:p>
    <w:p>
      <w:pPr>
        <w:jc w:val="both"/>
      </w:pPr>
      <w:r>
        <w:rPr>
          <w:b/>
          <w:bCs/>
          <w:sz w:val="24"/>
          <w:szCs w:val="24"/>
          <w:u w:val="none"/>
          <w:lang w:eastAsia="pt-BR"/>
        </w:rPr>
        <w:t>10.3</w:t>
      </w:r>
      <w:r>
        <w:rPr>
          <w:sz w:val="24"/>
          <w:szCs w:val="24"/>
          <w:u w:val="none"/>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u w:val="none"/>
          <w:lang w:eastAsia="pt-BR"/>
        </w:rPr>
        <w:t>05 (cinco) anos</w:t>
      </w:r>
      <w:r>
        <w:rPr>
          <w:sz w:val="24"/>
          <w:szCs w:val="24"/>
          <w:u w:val="none"/>
          <w:lang w:eastAsia="pt-BR"/>
        </w:rPr>
        <w:t>, sem prejuízo das multas previstas em edital e no contrato e das demais cominações legais.</w:t>
      </w:r>
    </w:p>
    <w:p>
      <w:pPr>
        <w:jc w:val="both"/>
        <w:rPr>
          <w:u w:val="none"/>
        </w:rPr>
      </w:pPr>
    </w:p>
    <w:p>
      <w:pPr>
        <w:jc w:val="both"/>
      </w:pPr>
      <w:r>
        <w:rPr>
          <w:b/>
          <w:sz w:val="24"/>
          <w:szCs w:val="24"/>
          <w:u w:val="none"/>
        </w:rPr>
        <w:t>10.4.</w:t>
      </w:r>
      <w:r>
        <w:rPr>
          <w:sz w:val="24"/>
          <w:szCs w:val="24"/>
          <w:u w:val="none"/>
        </w:rPr>
        <w:t xml:space="preserve"> As penalidades somente poderão ser relevadas ou atenuadas pela autoridade competente aplicando-se o </w:t>
      </w:r>
      <w:r>
        <w:rPr>
          <w:bCs/>
          <w:sz w:val="24"/>
          <w:szCs w:val="24"/>
          <w:u w:val="none"/>
        </w:rPr>
        <w:t>Princípio da Proporcionalidade</w:t>
      </w:r>
      <w:r>
        <w:rPr>
          <w:sz w:val="24"/>
          <w:szCs w:val="24"/>
          <w:u w:val="none"/>
        </w:rPr>
        <w:t xml:space="preserve">, em razão de circunstâncias fundamentados em fatos reais e comprovados, desde que formuladas </w:t>
      </w:r>
      <w:r>
        <w:rPr>
          <w:bCs/>
          <w:sz w:val="24"/>
          <w:szCs w:val="24"/>
          <w:u w:val="none"/>
        </w:rPr>
        <w:t xml:space="preserve">por escrito </w:t>
      </w:r>
      <w:r>
        <w:rPr>
          <w:sz w:val="24"/>
          <w:szCs w:val="24"/>
          <w:u w:val="none"/>
        </w:rPr>
        <w:t xml:space="preserve">e no prazo máximo de </w:t>
      </w:r>
      <w:r>
        <w:rPr>
          <w:b/>
          <w:bCs/>
          <w:sz w:val="24"/>
          <w:szCs w:val="24"/>
          <w:u w:val="none"/>
        </w:rPr>
        <w:t xml:space="preserve">05 (cinco) dias úteis </w:t>
      </w:r>
      <w:r>
        <w:rPr>
          <w:bCs/>
          <w:sz w:val="24"/>
          <w:szCs w:val="24"/>
          <w:u w:val="none"/>
        </w:rPr>
        <w:t>da data em que for oficiada a pretensão da Administração no sentido da aplicação</w:t>
      </w:r>
      <w:r>
        <w:rPr>
          <w:sz w:val="24"/>
          <w:szCs w:val="24"/>
          <w:u w:val="none"/>
        </w:rPr>
        <w:t xml:space="preserve"> da pena. </w:t>
      </w:r>
    </w:p>
    <w:p>
      <w:pPr>
        <w:jc w:val="both"/>
        <w:rPr>
          <w:u w:val="none"/>
        </w:rPr>
      </w:pPr>
    </w:p>
    <w:p>
      <w:pPr>
        <w:jc w:val="both"/>
      </w:pPr>
      <w:r>
        <w:rPr>
          <w:b/>
          <w:bCs/>
          <w:sz w:val="24"/>
          <w:szCs w:val="24"/>
          <w:u w:val="none"/>
        </w:rPr>
        <w:t>10.5</w:t>
      </w:r>
      <w:r>
        <w:rPr>
          <w:sz w:val="24"/>
          <w:szCs w:val="24"/>
          <w:u w:val="none"/>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u w:val="none"/>
        </w:rPr>
      </w:pPr>
    </w:p>
    <w:p>
      <w:pPr>
        <w:jc w:val="both"/>
        <w:rPr>
          <w:b/>
          <w:bCs/>
          <w:sz w:val="24"/>
          <w:szCs w:val="24"/>
          <w:lang w:eastAsia="pt-BR"/>
        </w:rPr>
      </w:pPr>
      <w:r>
        <w:rPr>
          <w:b/>
          <w:bCs/>
          <w:sz w:val="24"/>
          <w:szCs w:val="24"/>
          <w:u w:val="none"/>
          <w:lang w:eastAsia="pt-BR"/>
        </w:rPr>
        <w:t>CLÁUSULA DÉCIMA PRIMEIRA - DA RESCISÃO</w:t>
      </w:r>
    </w:p>
    <w:p>
      <w:pPr>
        <w:jc w:val="both"/>
        <w:rPr>
          <w:u w:val="none"/>
        </w:rPr>
      </w:pPr>
    </w:p>
    <w:p>
      <w:pPr>
        <w:jc w:val="both"/>
      </w:pPr>
      <w:r>
        <w:rPr>
          <w:b/>
          <w:bCs/>
          <w:sz w:val="24"/>
          <w:szCs w:val="24"/>
          <w:u w:val="none"/>
          <w:lang w:eastAsia="pt-BR"/>
        </w:rPr>
        <w:t xml:space="preserve">11.1 </w:t>
      </w:r>
      <w:r>
        <w:rPr>
          <w:sz w:val="24"/>
          <w:szCs w:val="24"/>
          <w:u w:val="none"/>
          <w:lang w:eastAsia="pt-BR"/>
        </w:rPr>
        <w:t>- O inadimplemento de cláusula estabelecida nesta Ata de Registro de Preço, por parte do fornecedor, assegurará a Administração Municipal o direito de rescindi-lo, mediante notificação, com prova de recebimento.</w:t>
      </w:r>
    </w:p>
    <w:p>
      <w:pPr>
        <w:jc w:val="both"/>
        <w:rPr>
          <w:u w:val="none"/>
        </w:rPr>
      </w:pPr>
    </w:p>
    <w:p>
      <w:pPr>
        <w:jc w:val="both"/>
      </w:pPr>
      <w:r>
        <w:rPr>
          <w:b/>
          <w:bCs/>
          <w:sz w:val="24"/>
          <w:szCs w:val="24"/>
          <w:u w:val="none"/>
          <w:lang w:eastAsia="pt-BR"/>
        </w:rPr>
        <w:t xml:space="preserve">11.2 </w:t>
      </w:r>
      <w:r>
        <w:rPr>
          <w:sz w:val="24"/>
          <w:szCs w:val="24"/>
          <w:u w:val="none"/>
          <w:lang w:eastAsia="pt-BR"/>
        </w:rPr>
        <w:t>Além de outras hipóteses expressamente previstas no artigo 78 da Lei 8.666/93 constituem motivos para a rescisão da contratação:</w:t>
      </w:r>
    </w:p>
    <w:p>
      <w:pPr>
        <w:jc w:val="both"/>
        <w:rPr>
          <w:u w:val="none"/>
        </w:rPr>
      </w:pPr>
    </w:p>
    <w:p>
      <w:pPr>
        <w:ind w:left="300" w:right="0" w:firstLine="0"/>
        <w:jc w:val="both"/>
        <w:rPr>
          <w:sz w:val="24"/>
          <w:szCs w:val="24"/>
          <w:lang w:eastAsia="pt-BR"/>
        </w:rPr>
      </w:pPr>
      <w:r>
        <w:rPr>
          <w:sz w:val="24"/>
          <w:szCs w:val="24"/>
          <w:u w:val="none"/>
          <w:lang w:eastAsia="pt-BR"/>
        </w:rPr>
        <w:t>a) atraso injustificado no fornecimento, bem como a sua paralisação sem justa causa e prévia comunicação a Administração Municipal;</w:t>
      </w:r>
    </w:p>
    <w:p>
      <w:pPr>
        <w:ind w:left="300" w:right="0" w:firstLine="0"/>
        <w:jc w:val="both"/>
        <w:rPr>
          <w:u w:val="none"/>
        </w:rPr>
      </w:pPr>
    </w:p>
    <w:p>
      <w:pPr>
        <w:ind w:left="300" w:right="0" w:firstLine="0"/>
        <w:jc w:val="both"/>
        <w:rPr>
          <w:sz w:val="24"/>
          <w:szCs w:val="24"/>
          <w:lang w:eastAsia="pt-BR"/>
        </w:rPr>
      </w:pPr>
      <w:r>
        <w:rPr>
          <w:sz w:val="24"/>
          <w:szCs w:val="24"/>
          <w:u w:val="none"/>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rPr>
          <w:rStyle w:val="208"/>
        </w:rPr>
        <w:t>www.navirai.ms.gov.br/licitacoes</w:t>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overflowPunct/>
              <w:autoSpaceDE/>
              <w:spacing w:line="276" w:lineRule="auto"/>
              <w:ind w:left="0" w:right="33" w:firstLine="0"/>
              <w:jc w:val="center"/>
              <w:rPr>
                <w:b w:val="0"/>
                <w:bCs w:val="0"/>
                <w:i w:val="0"/>
                <w:iCs w:val="0"/>
                <w:sz w:val="22"/>
                <w:szCs w:val="24"/>
                <w:lang w:eastAsia="pt-BR"/>
              </w:rPr>
            </w:pPr>
            <w:r>
              <w:rPr>
                <w:b/>
                <w:bCs w:val="0"/>
                <w:iCs w:val="0"/>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val="0"/>
                <w:bCs w:val="0"/>
                <w:i w:val="0"/>
                <w:iCs w:val="0"/>
                <w:sz w:val="22"/>
                <w:szCs w:val="24"/>
              </w:rPr>
            </w:pPr>
            <w:r>
              <w:rPr>
                <w:rFonts w:eastAsia="MS Mincho;ＭＳ 明朝"/>
                <w:b/>
                <w:bCs w:val="0"/>
                <w:iCs w:val="0"/>
                <w:sz w:val="22"/>
                <w:szCs w:val="24"/>
              </w:rPr>
              <w:t>Gerente de Saúde e Ordenador de Despesas</w:t>
            </w:r>
          </w:p>
          <w:p>
            <w:pPr>
              <w:widowControl w:val="0"/>
              <w:tabs>
                <w:tab w:val="left" w:pos="5562"/>
              </w:tabs>
              <w:ind w:left="0" w:right="33" w:firstLine="0"/>
              <w:jc w:val="center"/>
              <w:rPr>
                <w:rFonts w:eastAsia="MS Mincho;ＭＳ 明朝"/>
                <w:b w:val="0"/>
                <w:bCs w:val="0"/>
                <w:i w:val="0"/>
                <w:iCs w:val="0"/>
                <w:sz w:val="22"/>
                <w:szCs w:val="24"/>
              </w:rPr>
            </w:pPr>
            <w:r>
              <w:rPr>
                <w:rFonts w:eastAsia="MS Mincho;ＭＳ 明朝"/>
                <w:b/>
                <w:bCs w:val="0"/>
                <w:iCs w:val="0"/>
                <w:sz w:val="22"/>
                <w:szCs w:val="24"/>
              </w:rPr>
              <w:t>Conforme Decreto nº. 052/2021</w:t>
            </w:r>
          </w:p>
        </w:tc>
        <w:tc>
          <w:tcPr>
            <w:tcW w:w="3696" w:type="dxa"/>
          </w:tcPr>
          <w:p>
            <w:pPr>
              <w:widowControl w:val="0"/>
              <w:jc w:val="center"/>
              <w:rPr>
                <w:rFonts w:eastAsia="MS Mincho;ＭＳ 明朝"/>
                <w:b w:val="0"/>
                <w:bCs w:val="0"/>
                <w:i w:val="0"/>
                <w:iCs w:val="0"/>
                <w:sz w:val="22"/>
                <w:szCs w:val="24"/>
              </w:rPr>
            </w:pPr>
            <w:r>
              <w:rPr>
                <w:rFonts w:eastAsia="MS Mincho;ＭＳ 明朝"/>
                <w:b/>
                <w:bCs w:val="0"/>
                <w:iCs w:val="0"/>
                <w:sz w:val="22"/>
                <w:szCs w:val="24"/>
              </w:rPr>
              <w:t>...............................................</w:t>
            </w:r>
          </w:p>
          <w:p>
            <w:pPr>
              <w:widowControl w:val="0"/>
              <w:jc w:val="center"/>
              <w:rPr>
                <w:rFonts w:eastAsia="MS Mincho;ＭＳ 明朝"/>
                <w:b w:val="0"/>
                <w:bCs w:val="0"/>
                <w:i w:val="0"/>
                <w:iCs w:val="0"/>
                <w:sz w:val="22"/>
                <w:szCs w:val="24"/>
              </w:rPr>
            </w:pPr>
            <w:r>
              <w:rPr>
                <w:rFonts w:eastAsia="MS Mincho;ＭＳ 明朝"/>
                <w:b/>
                <w:bCs w:val="0"/>
                <w:iCs w:val="0"/>
                <w:sz w:val="22"/>
                <w:szCs w:val="24"/>
              </w:rPr>
              <w:t>Gerenciador da Ata</w:t>
            </w:r>
          </w:p>
          <w:p>
            <w:pPr>
              <w:widowControl w:val="0"/>
              <w:jc w:val="center"/>
              <w:rPr>
                <w:rFonts w:eastAsia="MS Mincho;ＭＳ 明朝"/>
                <w:b w:val="0"/>
                <w:bCs w:val="0"/>
                <w:i w:val="0"/>
                <w:iCs w:val="0"/>
                <w:sz w:val="22"/>
                <w:szCs w:val="24"/>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b/>
          <w:bCs/>
          <w:sz w:val="24"/>
          <w:szCs w:val="24"/>
          <w:lang w:eastAsia="pt-BR"/>
        </w:rPr>
        <w:t>128</w:t>
      </w:r>
      <w:r>
        <w:rPr>
          <w:b/>
          <w:sz w:val="24"/>
          <w:szCs w:val="24"/>
          <w:lang w:eastAsia="pt-BR"/>
        </w:rPr>
        <w:t>/2021</w:t>
      </w:r>
      <w:r>
        <w:rPr>
          <w:sz w:val="24"/>
          <w:szCs w:val="24"/>
          <w:lang w:eastAsia="pt-BR"/>
        </w:rPr>
        <w:t xml:space="preserve"> – Processo nº. </w:t>
      </w:r>
      <w:r>
        <w:rPr>
          <w:b/>
          <w:bCs/>
          <w:sz w:val="24"/>
          <w:szCs w:val="24"/>
          <w:lang w:eastAsia="pt-BR"/>
        </w:rPr>
        <w:t>230/</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fixed"/>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rPr>
      </w:pPr>
    </w:p>
    <w:p>
      <w:pPr>
        <w:rPr>
          <w:b/>
          <w:bCs/>
          <w:sz w:val="24"/>
          <w:szCs w:val="24"/>
        </w:rPr>
      </w:pPr>
    </w:p>
    <w:p>
      <w:pPr>
        <w:rPr>
          <w:b/>
          <w:bCs/>
          <w:sz w:val="24"/>
          <w:szCs w:val="24"/>
        </w:rPr>
      </w:pPr>
    </w:p>
    <w:p>
      <w:pPr>
        <w:jc w:val="center"/>
        <w:rPr>
          <w:b/>
          <w:bCs/>
          <w:sz w:val="24"/>
          <w:szCs w:val="24"/>
        </w:rPr>
      </w:pPr>
      <w:r>
        <w:rPr>
          <w:b/>
          <w:bCs/>
          <w:sz w:val="24"/>
          <w:szCs w:val="24"/>
        </w:rPr>
        <w:t xml:space="preserve">PREGÃO PRESENCIAL Nº 128/2021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shd w:val="clear" w:fill="FFFF00"/>
        </w:rPr>
        <w:t>com sede a Praça Prefeito Euclides Antônio Fabris n.º 343, inscrita no CGC/MF sob o n.º 03.155.934/0001-90</w:t>
      </w:r>
      <w:r>
        <w:rPr>
          <w:iCs/>
          <w:sz w:val="24"/>
          <w:szCs w:val="24"/>
        </w:rPr>
        <w:t xml:space="preserve">, </w:t>
      </w:r>
      <w:r>
        <w:rPr>
          <w:iCs/>
          <w:sz w:val="24"/>
          <w:szCs w:val="24"/>
          <w:shd w:val="clear" w:fill="FFFF00"/>
        </w:rPr>
        <w:t>por meio do Fundo Municipal de Saúde, com sede a Avenida Amélia Fukuda nº. 100, inscrito no CGC/MF sob o n.º 11.221.619/0001-42</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230/2021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128/2021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Gerência.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CONTRATAÇÃO FUTURA DE EMPRESA ESPECIALIZADA EM SERVIÇOS DE RADIOGRAFIA PANORÂMICA CONFORME TERMO DE REFERÊNCIA, PARA ATENDER DEMANDA DO CENTRO DE ESPECIALIDADES ODONTOLÓGICAS. SOLICITAÇÃO DE SERVIÇOS Nº 248/2021 E 249/2021 DA GERÊNCIA DE SAÚDE DO MUNICÍPIO DE NAVIRAÍ - MS.</w:t>
      </w:r>
    </w:p>
    <w:p>
      <w:pPr>
        <w:widowControl w:val="0"/>
        <w:ind w:left="0" w:right="-568" w:firstLine="0"/>
        <w:rPr>
          <w:b/>
          <w:iCs/>
          <w:sz w:val="24"/>
          <w:szCs w:val="24"/>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rFonts w:hint="default"/>
          <w:b/>
          <w:bCs/>
          <w:sz w:val="24"/>
          <w:szCs w:val="24"/>
          <w:u w:val="none"/>
          <w:lang w:val="pt-BR"/>
        </w:rPr>
        <w:t>3</w:t>
      </w:r>
      <w:r>
        <w:rPr>
          <w:b/>
          <w:bCs/>
          <w:sz w:val="24"/>
          <w:szCs w:val="24"/>
          <w:u w:val="none"/>
        </w:rPr>
        <w:t>.1</w:t>
      </w:r>
      <w:r>
        <w:rPr>
          <w:sz w:val="24"/>
          <w:szCs w:val="24"/>
          <w:u w:val="none"/>
        </w:rPr>
        <w:t xml:space="preserve"> – Os serviços licitados serão solicitados conforme a necessidade da Gerência mediante ordem de fornecimento, e os exames radiográficos deverão ser entregues no Centro de Especialidades Odontológicas no prazo de até 07 (sete) dias após a realização da Radiografia podendo ainda o prazo ser estendido conforme data mencionada na Ordem de Fornecimento.</w:t>
      </w:r>
    </w:p>
    <w:p>
      <w:pPr>
        <w:jc w:val="both"/>
        <w:rPr>
          <w:u w:val="none"/>
        </w:rPr>
      </w:pPr>
    </w:p>
    <w:p>
      <w:pPr>
        <w:jc w:val="both"/>
      </w:pPr>
      <w:r>
        <w:rPr>
          <w:rFonts w:hint="default"/>
          <w:b/>
          <w:sz w:val="24"/>
          <w:szCs w:val="24"/>
          <w:u w:val="none"/>
          <w:lang w:val="pt-BR"/>
        </w:rPr>
        <w:t>3</w:t>
      </w:r>
      <w:r>
        <w:rPr>
          <w:b/>
          <w:sz w:val="24"/>
          <w:szCs w:val="24"/>
          <w:u w:val="none"/>
        </w:rPr>
        <w:t xml:space="preserve">.1.1 - </w:t>
      </w:r>
      <w:r>
        <w:rPr>
          <w:sz w:val="24"/>
          <w:szCs w:val="24"/>
          <w:u w:val="none"/>
        </w:rPr>
        <w:t>A quantidade mínima a ser solicitada para a entrega do objeto deste edital está discriminada no Anexo I do Edital.</w:t>
      </w:r>
    </w:p>
    <w:p>
      <w:pPr>
        <w:jc w:val="both"/>
        <w:rPr>
          <w:sz w:val="24"/>
          <w:szCs w:val="24"/>
          <w:u w:val="none"/>
        </w:rPr>
      </w:pPr>
    </w:p>
    <w:p>
      <w:pPr>
        <w:jc w:val="both"/>
      </w:pPr>
      <w:r>
        <w:rPr>
          <w:rFonts w:hint="default"/>
          <w:b/>
          <w:bCs/>
          <w:sz w:val="24"/>
          <w:szCs w:val="24"/>
          <w:u w:val="none"/>
          <w:lang w:val="pt-BR"/>
        </w:rPr>
        <w:t>3</w:t>
      </w:r>
      <w:r>
        <w:rPr>
          <w:b/>
          <w:bCs/>
          <w:sz w:val="24"/>
          <w:szCs w:val="24"/>
          <w:u w:val="none"/>
        </w:rPr>
        <w:t xml:space="preserve">.2 </w:t>
      </w:r>
      <w:r>
        <w:rPr>
          <w:sz w:val="24"/>
          <w:szCs w:val="24"/>
          <w:u w:val="none"/>
        </w:rPr>
        <w:t>– Caso a empresa adjudicatária não esteja dentro do perímetro urbano do município de Naviraí deverá ser responsável pelas despesas de ida e volta do paciente.</w:t>
      </w:r>
    </w:p>
    <w:p>
      <w:pPr>
        <w:jc w:val="both"/>
        <w:rPr>
          <w:u w:val="none"/>
        </w:rPr>
      </w:pPr>
    </w:p>
    <w:p>
      <w:pPr>
        <w:jc w:val="both"/>
      </w:pPr>
      <w:r>
        <w:rPr>
          <w:rFonts w:hint="default"/>
          <w:b/>
          <w:bCs/>
          <w:sz w:val="24"/>
          <w:szCs w:val="24"/>
          <w:u w:val="none"/>
          <w:lang w:val="pt-BR"/>
        </w:rPr>
        <w:t>3</w:t>
      </w:r>
      <w:r>
        <w:rPr>
          <w:b/>
          <w:bCs/>
          <w:sz w:val="24"/>
          <w:szCs w:val="24"/>
          <w:u w:val="none"/>
        </w:rPr>
        <w:t>.3</w:t>
      </w:r>
      <w:r>
        <w:rPr>
          <w:sz w:val="24"/>
          <w:szCs w:val="24"/>
          <w:u w:val="none"/>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u w:val="none"/>
        </w:rPr>
      </w:pPr>
    </w:p>
    <w:p>
      <w:pPr>
        <w:jc w:val="both"/>
      </w:pPr>
      <w:r>
        <w:rPr>
          <w:rFonts w:hint="default"/>
          <w:b/>
          <w:bCs/>
          <w:sz w:val="24"/>
          <w:szCs w:val="24"/>
          <w:u w:val="none"/>
          <w:lang w:val="pt-BR"/>
        </w:rPr>
        <w:t>3</w:t>
      </w:r>
      <w:r>
        <w:rPr>
          <w:b/>
          <w:bCs/>
          <w:sz w:val="24"/>
          <w:szCs w:val="24"/>
          <w:u w:val="none"/>
        </w:rPr>
        <w:t>.4</w:t>
      </w:r>
      <w:r>
        <w:rPr>
          <w:sz w:val="24"/>
          <w:szCs w:val="24"/>
          <w:u w:val="none"/>
        </w:rPr>
        <w:t xml:space="preserve"> – A licitante vencedora ficará obrigada a trocar as suas expensas o material que vier a ser recusado sendo que ato de recebimento não importará sua aceitação.</w:t>
      </w:r>
    </w:p>
    <w:p>
      <w:pPr>
        <w:jc w:val="both"/>
        <w:rPr>
          <w:u w:val="none"/>
        </w:rPr>
      </w:pPr>
    </w:p>
    <w:p>
      <w:pPr>
        <w:jc w:val="both"/>
      </w:pPr>
      <w:r>
        <w:rPr>
          <w:rFonts w:hint="default"/>
          <w:b/>
          <w:bCs/>
          <w:sz w:val="24"/>
          <w:szCs w:val="24"/>
          <w:u w:val="none"/>
          <w:lang w:val="pt-BR"/>
        </w:rPr>
        <w:t>3</w:t>
      </w:r>
      <w:r>
        <w:rPr>
          <w:b/>
          <w:bCs/>
          <w:sz w:val="24"/>
          <w:szCs w:val="24"/>
          <w:u w:val="none"/>
        </w:rPr>
        <w:t>.5</w:t>
      </w:r>
      <w:r>
        <w:rPr>
          <w:sz w:val="24"/>
          <w:szCs w:val="24"/>
          <w:u w:val="none"/>
        </w:rPr>
        <w:t xml:space="preserve"> – Independentemente da aceitação, a adjudicatária garantirá a qualidade dos materiais obrigando-se a repor aquele que apresentar defeito ou for entregue em desacordo com o apresentado na proposta.</w:t>
      </w:r>
    </w:p>
    <w:p>
      <w:pPr>
        <w:jc w:val="both"/>
        <w:rPr>
          <w:u w:val="none"/>
        </w:rPr>
      </w:pP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fixed"/>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rFonts w:hint="default"/>
          <w:b/>
          <w:bCs/>
          <w:sz w:val="24"/>
          <w:szCs w:val="24"/>
          <w:lang w:val="pt-BR"/>
        </w:rPr>
      </w:pPr>
      <w:r>
        <w:rPr>
          <w:rFonts w:hint="default"/>
          <w:b/>
          <w:bCs/>
          <w:sz w:val="24"/>
          <w:szCs w:val="24"/>
          <w:lang w:val="pt-BR"/>
        </w:rPr>
        <w:t>TERMO DE REFERÊNCIA DO CONTRATO</w:t>
      </w:r>
    </w:p>
    <w:p>
      <w:r>
        <w:drawing>
          <wp:inline distT="0" distB="0" distL="114300" distR="114300">
            <wp:extent cx="4420870" cy="3383280"/>
            <wp:effectExtent l="0" t="0" r="17780" b="762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
                    <pic:cNvPicPr>
                      <a:picLocks noChangeAspect="1"/>
                    </pic:cNvPicPr>
                  </pic:nvPicPr>
                  <pic:blipFill>
                    <a:blip r:embed="rId13"/>
                    <a:stretch>
                      <a:fillRect/>
                    </a:stretch>
                  </pic:blipFill>
                  <pic:spPr>
                    <a:xfrm>
                      <a:off x="0" y="0"/>
                      <a:ext cx="4420870" cy="3383280"/>
                    </a:xfrm>
                    <a:prstGeom prst="rect">
                      <a:avLst/>
                    </a:prstGeom>
                    <a:noFill/>
                    <a:ln>
                      <a:noFill/>
                    </a:ln>
                  </pic:spPr>
                </pic:pic>
              </a:graphicData>
            </a:graphic>
          </wp:inline>
        </w:drawing>
      </w:r>
    </w:p>
    <w:p>
      <w:r>
        <w:drawing>
          <wp:anchor distT="0" distB="0" distL="114300" distR="114300" simplePos="0" relativeHeight="251660288" behindDoc="0" locked="0" layoutInCell="1" allowOverlap="1">
            <wp:simplePos x="0" y="0"/>
            <wp:positionH relativeFrom="column">
              <wp:posOffset>161925</wp:posOffset>
            </wp:positionH>
            <wp:positionV relativeFrom="paragraph">
              <wp:posOffset>9525</wp:posOffset>
            </wp:positionV>
            <wp:extent cx="3830320" cy="5315585"/>
            <wp:effectExtent l="0" t="0" r="17780" b="18415"/>
            <wp:wrapNone/>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
                    <pic:cNvPicPr>
                      <a:picLocks noChangeAspect="1"/>
                    </pic:cNvPicPr>
                  </pic:nvPicPr>
                  <pic:blipFill>
                    <a:blip r:embed="rId14"/>
                    <a:stretch>
                      <a:fillRect/>
                    </a:stretch>
                  </pic:blipFill>
                  <pic:spPr>
                    <a:xfrm>
                      <a:off x="0" y="0"/>
                      <a:ext cx="3830320" cy="5315585"/>
                    </a:xfrm>
                    <a:prstGeom prst="rect">
                      <a:avLst/>
                    </a:prstGeom>
                    <a:noFill/>
                    <a:ln>
                      <a:noFill/>
                    </a:ln>
                  </pic:spPr>
                </pic:pic>
              </a:graphicData>
            </a:graphic>
          </wp:anchor>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both"/>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128/2021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128/2021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r>
        <w:rPr>
          <w:b/>
          <w:bCs/>
          <w:sz w:val="24"/>
          <w:szCs w:val="24"/>
        </w:rPr>
        <w:t>PREGÃO PRESENCIAL N°. 128/2021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128</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128/2021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128/2021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128</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12</w:t>
      </w:r>
      <w:r>
        <w:rPr>
          <w:rFonts w:hint="default" w:eastAsia="Times New Roman"/>
          <w:b/>
          <w:bCs/>
          <w:sz w:val="24"/>
          <w:szCs w:val="24"/>
          <w:lang w:val="pt-BR"/>
        </w:rPr>
        <w:t>8</w:t>
      </w:r>
      <w:r>
        <w:rPr>
          <w:rFonts w:eastAsia="Times New Roman"/>
          <w:b/>
          <w:bCs/>
          <w:sz w:val="24"/>
          <w:szCs w:val="24"/>
        </w:rPr>
        <w:t>/2021</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sz w:val="24"/>
          <w:szCs w:val="24"/>
        </w:rPr>
        <w:t>ENDEREÇO COMPLETO</w:t>
      </w:r>
    </w:p>
    <w:p>
      <w:pPr>
        <w:rPr>
          <w:rFonts w:ascii="Verdana" w:hAnsi="Verdana" w:cs="Verdana"/>
          <w:sz w:val="24"/>
          <w:szCs w:val="24"/>
        </w:rPr>
      </w:pPr>
    </w:p>
    <w:sectPr>
      <w:pgSz w:w="11906" w:h="16838"/>
      <w:pgMar w:top="1537" w:right="11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Segoe Print"/>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Garamond">
    <w:altName w:val="Segoe Print"/>
    <w:panose1 w:val="00000000000000000000"/>
    <w:charset w:val="00"/>
    <w:family w:val="roman"/>
    <w:pitch w:val="default"/>
    <w:sig w:usb0="00000000" w:usb1="00000000" w:usb2="00000000" w:usb3="00000000" w:csb0="00000000" w:csb1="00000000"/>
  </w:font>
  <w:font w:name="Palatino;Book Antiqua">
    <w:altName w:val="Segoe Print"/>
    <w:panose1 w:val="00000000000000000000"/>
    <w:charset w:val="00"/>
    <w:family w:val="auto"/>
    <w:pitch w:val="default"/>
    <w:sig w:usb0="00000000" w:usb1="00000000" w:usb2="00000000" w:usb3="00000000" w:csb0="00000000" w:csb1="00000000"/>
  </w:font>
  <w:font w:name="MS Mincho;ＭＳ 明朝">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3175" distB="3175" distL="118110" distR="118110" simplePos="0" relativeHeight="251659264" behindDoc="1" locked="0" layoutInCell="0" allowOverlap="1">
              <wp:simplePos x="0" y="0"/>
              <wp:positionH relativeFrom="column">
                <wp:posOffset>14605</wp:posOffset>
              </wp:positionH>
              <wp:positionV relativeFrom="paragraph">
                <wp:posOffset>-6350</wp:posOffset>
              </wp:positionV>
              <wp:extent cx="5760720" cy="1270"/>
              <wp:effectExtent l="0" t="0" r="0" b="0"/>
              <wp:wrapNone/>
              <wp:docPr id="10" name="Forma1"/>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orma1" o:spid="_x0000_s1026" o:spt="20" style="position:absolute;left:0pt;margin-left:1.15pt;margin-top:-0.5pt;height:0.1pt;width:453.6pt;z-index:-251657216;mso-width-relative:page;mso-height-relative:page;" filled="f" stroked="t" coordsize="21600,21600" o:allowincell="f"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2NwUkNcAAAAGAQAA&#10;DwAAAAAAAAABACAAAAAiAAAAZHJzL2Rvd25yZXYueG1sUEsBAhQAFAAAAAgAh07iQAywlUKoAQAA&#10;YgMAAA4AAAAAAAAAAQAgAAAAJgEAAGRycy9lMm9Eb2MueG1sUEsFBgAAAAAGAAYAWQEAAEAFAAAA&#10;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59264" behindDoc="0" locked="0" layoutInCell="0" allowOverlap="1">
              <wp:simplePos x="0" y="0"/>
              <wp:positionH relativeFrom="page">
                <wp:posOffset>3900170</wp:posOffset>
              </wp:positionH>
              <wp:positionV relativeFrom="paragraph">
                <wp:posOffset>220345</wp:posOffset>
              </wp:positionV>
              <wp:extent cx="74930" cy="179705"/>
              <wp:effectExtent l="0" t="0" r="0" b="0"/>
              <wp:wrapSquare wrapText="largest"/>
              <wp:docPr id="11" name="Quadro1"/>
              <wp:cNvGraphicFramePr/>
              <a:graphic xmlns:a="http://schemas.openxmlformats.org/drawingml/2006/main">
                <a:graphicData uri="http://schemas.microsoft.com/office/word/2010/wordprocessingShape">
                  <wps:wsp>
                    <wps:cNvSpPr txBox="1"/>
                    <wps:spPr>
                      <a:xfrm>
                        <a:off x="0" y="0"/>
                        <a:ext cx="74930"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5.9pt;mso-position-horizontal-relative:page;mso-wrap-distance-bottom:0pt;mso-wrap-distance-left:0pt;mso-wrap-distance-right:0pt;mso-wrap-distance-top:0pt;z-index:251659264;mso-width-relative:page;mso-height-relative:page;" fillcolor="#FFFFFF" filled="t" stroked="f" coordsize="21600,21600" o:allowincell="f" o:gfxdata="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Dqmb/WAAAACQEAAA8AAAAAAAAAAQAgAAAAIgAAAGRycy9k&#10;b3ducmV2LnhtbFBLAQIUABQAAAAIAIdO4kCl/dgPywEAALQDAAAOAAAAAAAAAAEAIAAAACUBAABk&#10;cnMvZTJvRG9jLnhtbFBLBQYAAAAABgAGAFkBAABiBQ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hint="default" w:ascii="Times New Roman" w:hAnsi="Times New Roman" w:cs="Times New Roman"/>
      </w:rPr>
    </w:pPr>
    <w:r>
      <w:rPr>
        <w:rFonts w:hint="default" w:ascii="Times New Roman" w:hAnsi="Times New Roman" w:cs="Times New Roman"/>
      </w:rPr>
      <w:t>CNPJ 03.155.934/0001-90</w:t>
    </w:r>
  </w:p>
  <w:p>
    <w:pPr>
      <w:pStyle w:val="20"/>
      <w:ind w:left="0" w:right="-241" w:firstLine="0"/>
      <w:jc w:val="both"/>
      <w:rPr>
        <w:rFonts w:hint="default" w:ascii="Times New Roman" w:hAnsi="Times New Roman" w:cs="Times New Roman"/>
      </w:rPr>
    </w:pPr>
    <w:r>
      <w:rPr>
        <w:rFonts w:hint="default" w:ascii="Times New Roman" w:hAnsi="Times New Roman" w:cs="Times New Roman"/>
      </w:rPr>
      <mc:AlternateContent>
        <mc:Choice Requires="wps">
          <w:drawing>
            <wp:anchor distT="6350" distB="6350" distL="121285" distR="121285" simplePos="0" relativeHeight="251659264" behindDoc="1" locked="0" layoutInCell="0" allowOverlap="1">
              <wp:simplePos x="0" y="0"/>
              <wp:positionH relativeFrom="column">
                <wp:posOffset>-1134110</wp:posOffset>
              </wp:positionH>
              <wp:positionV relativeFrom="paragraph">
                <wp:posOffset>121920</wp:posOffset>
              </wp:positionV>
              <wp:extent cx="7560945" cy="1270"/>
              <wp:effectExtent l="0" t="0" r="0" b="0"/>
              <wp:wrapNone/>
              <wp:docPr id="9"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2" o:spid="_x0000_s1026" o:spt="20" style="position:absolute;left:0pt;margin-left:-89.3pt;margin-top:9.6pt;height:0.1pt;width:595.35pt;z-index:-251657216;mso-width-relative:page;mso-height-relative:page;" filled="f" stroked="t" coordsize="21600,21600" o:allowincell="f" o:gfxdata="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HBH&#10;b9kAAAALAQAADwAAAAAAAAABACAAAAAiAAAAZHJzL2Rvd25yZXYueG1sUEsBAhQAFAAAAAgAh07i&#10;QKHEI02vAQAAawMAAA4AAAAAAAAAAQAgAAAAKAEAAGRycy9lMm9Eb2MueG1sUEsFBgAAAAAGAAYA&#10;WQEAAEkFAAAAAA==&#10;">
              <v:fill on="f" focussize="0,0"/>
              <v:stroke weight="0.992125984251969pt" color="#008000"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9288B902"/>
    <w:multiLevelType w:val="singleLevel"/>
    <w:tmpl w:val="9288B902"/>
    <w:lvl w:ilvl="0" w:tentative="0">
      <w:start w:val="1"/>
      <w:numFmt w:val="lowerLetter"/>
      <w:lvlText w:val="%1)"/>
      <w:lvlJc w:val="left"/>
      <w:pPr>
        <w:tabs>
          <w:tab w:val="left" w:pos="720"/>
        </w:tabs>
        <w:ind w:left="720" w:hanging="360"/>
      </w:pPr>
      <w:rPr>
        <w:b/>
        <w:bCs/>
        <w:sz w:val="24"/>
        <w:szCs w:val="24"/>
      </w:rPr>
    </w:lvl>
  </w:abstractNum>
  <w:abstractNum w:abstractNumId="2">
    <w:nsid w:val="BE923771"/>
    <w:multiLevelType w:val="multilevel"/>
    <w:tmpl w:val="BE923771"/>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3">
    <w:nsid w:val="39A0D9AC"/>
    <w:multiLevelType w:val="singleLevel"/>
    <w:tmpl w:val="39A0D9AC"/>
    <w:lvl w:ilvl="0" w:tentative="0">
      <w:start w:val="1"/>
      <w:numFmt w:val="lowerLetter"/>
      <w:lvlText w:val="%1)"/>
      <w:lvlJc w:val="left"/>
      <w:pPr>
        <w:tabs>
          <w:tab w:val="left" w:pos="1257"/>
        </w:tabs>
        <w:ind w:left="1257" w:hanging="690"/>
      </w:pPr>
    </w:lvl>
  </w:abstractNum>
  <w:abstractNum w:abstractNumId="4">
    <w:nsid w:val="629F7852"/>
    <w:multiLevelType w:val="singleLevel"/>
    <w:tmpl w:val="629F7852"/>
    <w:lvl w:ilvl="0" w:tentative="0">
      <w:start w:val="1"/>
      <w:numFmt w:val="lowerLetter"/>
      <w:lvlText w:val="%1)"/>
      <w:lvlJc w:val="left"/>
      <w:pPr>
        <w:tabs>
          <w:tab w:val="left" w:pos="720"/>
        </w:tabs>
        <w:ind w:left="720" w:hanging="360"/>
      </w:pPr>
    </w:lvl>
  </w:abstractNum>
  <w:abstractNum w:abstractNumId="5">
    <w:nsid w:val="7DEC2089"/>
    <w:multiLevelType w:val="singleLevel"/>
    <w:tmpl w:val="7DEC2089"/>
    <w:lvl w:ilvl="0" w:tentative="0">
      <w:start w:val="1"/>
      <w:numFmt w:val="upperRoman"/>
      <w:lvlText w:val="%1-"/>
      <w:lvlJc w:val="left"/>
      <w:pPr>
        <w:tabs>
          <w:tab w:val="left" w:pos="0"/>
        </w:tabs>
        <w:ind w:left="900" w:hanging="720"/>
      </w:pPr>
      <w:rPr>
        <w:bCs/>
        <w:iCs/>
      </w:rPr>
    </w:lvl>
  </w:abstractNum>
  <w:num w:numId="1">
    <w:abstractNumId w:val="2"/>
  </w:num>
  <w:num w:numId="2">
    <w:abstractNumId w:val="4"/>
  </w:num>
  <w:num w:numId="3">
    <w:abstractNumId w:val="1"/>
  </w:num>
  <w:num w:numId="4">
    <w:abstractNumId w:val="3"/>
  </w:num>
  <w:num w:numId="5">
    <w:abstractNumId w:val="0"/>
    <w:lvlOverride w:ilvl="1">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p0026_0004_1" w:val="Número do Item[01:nrItem]"/>
    <w:docVar w:name="Rep0026_0004_2" w:val="Número do Item[01:nrItem]"/>
    <w:docVar w:name="Rep0026_0007_2" w:val="Quantidade do Item do Objeto[16:qtItemObjeto]"/>
    <w:docVar w:name="Rep0026_0007_3" w:val="Quantidade do Item do Objeto[15:qtItemObjeto]"/>
    <w:docVar w:name="Rep0026_0008_1" w:val="Unidade do Item[20:sgUnidadeMedida]"/>
    <w:docVar w:name="Rep0026_0008_2" w:val="Unidade do Item[20:sgUnidadeMedida]"/>
    <w:docVar w:name="Rep0026_0012_1" w:val="Descrição do Produto[20:dsMaterial]"/>
    <w:docVar w:name="Rep0026_0012_2" w:val="Descrição do Produto[20:dsMaterial]"/>
    <w:docVar w:name="Tab0040_0001_1" w:val="Ano do Processo[01:dtAnoProcesso]"/>
    <w:docVar w:name="Tab0040_0001_10" w:val="Ano do Processo[01:dtAnoProcesso]"/>
    <w:docVar w:name="Tab0040_0001_11" w:val="Ano do Processo[01:dtAnoProcesso]"/>
    <w:docVar w:name="Tab0040_0001_12" w:val="Ano do Processo[01:dtAnoProcesso]"/>
    <w:docVar w:name="Tab0040_0001_13" w:val="Ano do Processo[01:dtAnoProcesso]"/>
    <w:docVar w:name="Tab0040_0001_14" w:val="Ano do Processo[01:dtAnoProcesso]"/>
    <w:docVar w:name="Tab0040_0001_15" w:val="Ano do Processo[01:dtAnoProcesso]"/>
    <w:docVar w:name="Tab0040_0001_16" w:val="Ano do Processo[01:dtAnoProcesso]"/>
    <w:docVar w:name="Tab0040_0001_17" w:val="Ano do Processo[01:dtAnoProcesso]"/>
    <w:docVar w:name="Tab0040_0001_18" w:val="Ano do Processo[01:dtAnoProcesso]"/>
    <w:docVar w:name="Tab0040_0001_19" w:val="Ano do Processo[01:dtAnoProcesso]"/>
    <w:docVar w:name="Tab0040_0001_2" w:val="Ano do Processo[01:dtAnoProcesso]"/>
    <w:docVar w:name="Tab0040_0001_20" w:val="Ano do Processo[01:dtAnoProcesso]"/>
    <w:docVar w:name="Tab0040_0001_21" w:val="Ano do Processo[01:dtAnoProcesso]"/>
    <w:docVar w:name="Tab0040_0001_22" w:val="Ano do Processo[01:dtAnoProcesso]"/>
    <w:docVar w:name="Tab0040_0001_23" w:val="Ano do Processo[01:dtAnoProcesso]"/>
    <w:docVar w:name="Tab0040_0001_24" w:val="Ano do Processo[01:dtAnoProcesso]"/>
    <w:docVar w:name="Tab0040_0001_25" w:val="Ano do Processo[01:dtAnoProcesso]"/>
    <w:docVar w:name="Tab0040_0001_26" w:val="Ano do Processo[01:dtAnoProcesso]"/>
    <w:docVar w:name="Tab0040_0001_3" w:val="Ano do Processo[01:dtAnoProcesso]"/>
    <w:docVar w:name="Tab0040_0001_4" w:val="Ano do Processo[01:dtAnoProcesso]"/>
    <w:docVar w:name="Tab0040_0001_5" w:val="Ano do Processo[01:dtAnoProcesso]"/>
    <w:docVar w:name="Tab0040_0001_6" w:val="Ano do Processo[01:dtAnoProcesso]"/>
    <w:docVar w:name="Tab0040_0001_7" w:val="Ano do Processo[01:dtAnoProcesso]"/>
    <w:docVar w:name="Tab0040_0001_8" w:val="Ano do Processo[01:dtAnoProcesso]"/>
    <w:docVar w:name="Tab0040_0001_9" w:val="Ano do Processo[01:dtAnoProcesso]"/>
    <w:docVar w:name="Tab0040_0003_1" w:val="Número do Processo[01:nrProcesso]"/>
    <w:docVar w:name="Tab0040_0003_2" w:val="Número do Processo[01:nrProcesso]"/>
    <w:docVar w:name="Tab0040_0003_3" w:val="Número do Processo[01:nrProcesso]"/>
    <w:docVar w:name="Tab0040_0003_4" w:val="Número do Processo[01:nrProcesso]"/>
    <w:docVar w:name="Tab0040_0003_5" w:val="Número do Processo[01:nrProcesso]"/>
    <w:docVar w:name="Tab0040_0003_6" w:val="Número do Processo[01:nrProcesso]"/>
    <w:docVar w:name="Tab0040_0005_1" w:val="Número da Modalidade[01:nrModalidade]"/>
    <w:docVar w:name="Tab0040_0005_10" w:val="Número da Modalidade[01:nrModalidade]"/>
    <w:docVar w:name="Tab0040_0005_11" w:val="Número da Modalidade[01:nrModalidade]"/>
    <w:docVar w:name="Tab0040_0005_12" w:val="Número da Modalidade[01:nrModalidade]"/>
    <w:docVar w:name="Tab0040_0005_13" w:val="Número da Modalidade[01:nrModalidade]"/>
    <w:docVar w:name="Tab0040_0005_14" w:val="Número da Modalidade[01:nrModalidade]"/>
    <w:docVar w:name="Tab0040_0005_15" w:val="Número da Modalidade[01:nrModalidade]"/>
    <w:docVar w:name="Tab0040_0005_16" w:val="Número da Modalidade[01:nrModalidade]"/>
    <w:docVar w:name="Tab0040_0005_17" w:val="Número da Modalidade[01:nrModalidade]"/>
    <w:docVar w:name="Tab0040_0005_18" w:val="Número da Modalidade[01:nrModalidade]"/>
    <w:docVar w:name="Tab0040_0005_19" w:val="Número da Modalidade[01:nrModalidade]"/>
    <w:docVar w:name="Tab0040_0005_2" w:val="Número da Modalidade[01:nrModalidade]"/>
    <w:docVar w:name="Tab0040_0005_20" w:val="Número da Modalidade[01:nrModalidade]"/>
    <w:docVar w:name="Tab0040_0005_3" w:val="Número da Modalidade[01:nrModalidade]"/>
    <w:docVar w:name="Tab0040_0005_4" w:val="Número da Modalidade[01:nrModalidade]"/>
    <w:docVar w:name="Tab0040_0005_5" w:val="Número da Modalidade[01:nrModalidade]"/>
    <w:docVar w:name="Tab0040_0005_6" w:val="Número da Modalidade[01:nrModalidade]"/>
    <w:docVar w:name="Tab0040_0005_7" w:val="Número da Modalidade[01:nrModalidade]"/>
    <w:docVar w:name="Tab0040_0005_8" w:val="Número da Modalidade[01:nrModalidade]"/>
    <w:docVar w:name="Tab0040_0005_9" w:val="Número da Modalidade[01:nrModalidade]"/>
    <w:docVar w:name="Tab0040_0008_1" w:val="Valor da Cotação[12:vlCotacao]"/>
    <w:docVar w:name="Tab0040_0015_1" w:val="Data de Término de Recebimento das Propostas[30:dtTerminoRecebimento]"/>
    <w:docVar w:name="Tab0040_0015_2" w:val="Data de Término de Recebimento das Propostas[30:dtTerminoRecebimento]"/>
    <w:docVar w:name="Tab0040_0015_3" w:val="Data de Término de Recebimento das Propostas[30:dtTerminoRecebimento]"/>
    <w:docVar w:name="Tab0040_0015_4" w:val="Data de Término de Recebimento das Propostas[30:dtTerminoRecebimento]"/>
    <w:docVar w:name="Tab0040_0015_5" w:val="Data de Término de Recebimento das Propostas[31:dtTerminoRecebimento]"/>
    <w:docVar w:name="Tab0040_0015_6" w:val="Data de Término de Recebimento das Propostas[31:dtTerminoRecebimento]"/>
    <w:docVar w:name="Tab0040_0016_1" w:val="Hora de Término de Recebimento[20:hrTerminoRec]"/>
    <w:docVar w:name="Tab0040_0016_2" w:val="Hora de Término de Recebimento[20:hrTerminoRec]"/>
    <w:docVar w:name="Tab0040_0016_3" w:val="Hora de Término de Recebimento[20:hrTerminoRec]"/>
    <w:docVar w:name="Tab0040_0016_4" w:val="Hora de Término de Recebimento[20:hrTerminoRec]"/>
    <w:docVar w:name="Tab0040_0016_5" w:val="Hora de Término de Recebimento[20:hrTerminoRec]"/>
    <w:docVar w:name="Tab0040_0016_6" w:val="Hora de Término de Recebimento[20:hrTerminoRec]"/>
    <w:docVar w:name="Tab0040_0025_1" w:val="Descrição do Objeto[20:dsObjeto]"/>
    <w:docVar w:name="Tab0040_0025_2" w:val="Descrição do Objeto[20:dsObjeto]"/>
    <w:docVar w:name="Tab0040_0025_3" w:val="Descrição do Objeto[20:dsObjeto]"/>
    <w:docVar w:name="Tab0040_0025_4" w:val="Descrição do Objeto[20:dsObjeto]"/>
    <w:docVar w:name="Tab0040_0025_5" w:val="Descrição do Objeto[20:dsObjeto]"/>
    <w:docVar w:name="Tab0040_0025_6" w:val="Descrição do Objeto[20:dsObjeto]"/>
    <w:docVar w:name="Tab0040_0034_1" w:val="Data de Expedição[31:dtExpedicao]"/>
    <w:docVar w:name="Tab0040_0034_2" w:val="Data de Expedição[30:dtExpedicao]"/>
    <w:docVar w:name="Tab0040_0034_3" w:val="Data de Expedição[31:dtExpedicao]"/>
    <w:docVar w:name="Tab0040_0049_1" w:val="Regime Contratação[20:dsRegime]"/>
    <w:docVar w:name="Tab0040_0054_1" w:val="Valor da Cotação Extenso[16:vlCotacaoExtenso]"/>
    <w:docVar w:name="Tab0040_0058_1" w:val="Descrição do Tipo de Licitação[20:dsTipoLicitacao]"/>
  </w:docVars>
  <w:rsids>
    <w:rsidRoot w:val="00000000"/>
    <w:rsid w:val="48273D2B"/>
    <w:rsid w:val="5E172FC8"/>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47</Pages>
  <Words>14068</Words>
  <Characters>80909</Characters>
  <Paragraphs>733</Paragraphs>
  <TotalTime>9</TotalTime>
  <ScaleCrop>false</ScaleCrop>
  <LinksUpToDate>false</LinksUpToDate>
  <CharactersWithSpaces>94668</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2021-09-21T14:00:00Z</dcterms:created>
  <dc:creator>Usuario</dc:creator>
  <cp:lastModifiedBy>Usuario</cp:lastModifiedBy>
  <cp:lastPrinted>2021-09-21T14:23:00Z</cp:lastPrinted>
  <dcterms:modified xsi:type="dcterms:W3CDTF">2021-09-30T14:28:46Z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á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ção">
    <vt:lpwstr>glbPathAplicação</vt:lpwstr>
  </property>
  <property fmtid="{D5CDD505-2E9C-101B-9397-08002B2CF9AE}" pid="7" name="glbProcessandoFormatação">
    <vt:lpwstr>glbProcessandoFormatação</vt:lpwstr>
  </property>
  <property fmtid="{D5CDD505-2E9C-101B-9397-08002B2CF9AE}" pid="8" name="glbQuerysUtilizadas">
    <vt:lpwstr>glbQuerysUtilizadas</vt:lpwstr>
  </property>
  <property fmtid="{D5CDD505-2E9C-101B-9397-08002B2CF9AE}" pid="9" name="glbTítuloAplicativo">
    <vt:lpwstr>glbTítuloAplicativo</vt:lpwstr>
  </property>
  <property fmtid="{D5CDD505-2E9C-101B-9397-08002B2CF9AE}" pid="10" name="glbUltimaAtualização">
    <vt:lpwstr>glbUltimaAtualização</vt:lpwstr>
  </property>
  <property fmtid="{D5CDD505-2E9C-101B-9397-08002B2CF9AE}" pid="11" name="glbVersão">
    <vt:lpwstr>glbVersão</vt:lpwstr>
  </property>
  <property fmtid="{D5CDD505-2E9C-101B-9397-08002B2CF9AE}" pid="12" name="glbVersãoDocumento">
    <vt:lpwstr>glbVersãoDocumento</vt:lpwstr>
  </property>
  <property fmtid="{D5CDD505-2E9C-101B-9397-08002B2CF9AE}" pid="13" name="KSOProductBuildVer">
    <vt:lpwstr>1046-11.2.0.10323</vt:lpwstr>
  </property>
  <property fmtid="{D5CDD505-2E9C-101B-9397-08002B2CF9AE}" pid="14" name="ICV">
    <vt:lpwstr>9CE3CA7D7249410ABFD69591E55CA141</vt:lpwstr>
  </property>
</Properties>
</file>