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bookmarkStart w:id="0" w:name="_GoBack"/>
      <w:bookmarkEnd w:id="0"/>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272</w:t>
      </w:r>
      <w:r>
        <w:rPr>
          <w:rFonts w:ascii="Times New Roman" w:hAnsi="Times New Roman" w:cs="Times New Roman"/>
          <w:sz w:val="22"/>
          <w:szCs w:val="22"/>
          <w:highlight w:val="none"/>
        </w:rPr>
        <w:t>/2021</w:t>
      </w:r>
    </w:p>
    <w:p>
      <w:pPr>
        <w:jc w:val="center"/>
      </w:pPr>
      <w:r>
        <w:rPr>
          <w:b/>
          <w:bCs/>
          <w:sz w:val="22"/>
          <w:szCs w:val="22"/>
        </w:rPr>
        <w:t>PREGÃO PRESENCIAL N°. 156/2021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pPr>
      <w:r>
        <w:rPr>
          <w:b/>
          <w:bCs/>
          <w:szCs w:val="22"/>
        </w:rPr>
        <w:t>1.2.</w:t>
      </w:r>
      <w:r>
        <w:rPr>
          <w:szCs w:val="22"/>
        </w:rPr>
        <w:t xml:space="preserve"> Recebimento e abertura dos envelopes, propostas e documentação de habilitação, ocorrerão em sessão pública e deverão ser entregues no máximo até às </w:t>
      </w:r>
      <w:r>
        <w:rPr>
          <w:b/>
          <w:bCs/>
          <w:szCs w:val="22"/>
          <w:highlight w:val="none"/>
        </w:rPr>
        <w:t>08:00 horas do dia 25</w:t>
      </w:r>
      <w:r>
        <w:rPr>
          <w:rFonts w:hint="default"/>
          <w:b/>
          <w:bCs/>
          <w:szCs w:val="22"/>
          <w:highlight w:val="none"/>
          <w:lang w:val="pt-BR"/>
        </w:rPr>
        <w:t xml:space="preserve"> de novembro de 20</w:t>
      </w:r>
      <w:r>
        <w:rPr>
          <w:b/>
          <w:bCs/>
          <w:szCs w:val="22"/>
          <w:highlight w:val="none"/>
        </w:rPr>
        <w:t>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NA REALIZAÇÃO DE EXAMES CONFORME TERMO DE REFERÊNCIA, PARA ATENDER  DEMANDA DA CAMPANHA "NOVEMBRO AZUL". SOLICITAÇÃO GERÊNCIA DE SAÚDE DO MUNICÍPIO DE NAVIRAÍ-MS. PEDIDO DE COMPRA Nº 119/2021.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b/>
          <w:bCs/>
          <w:sz w:val="22"/>
          <w:szCs w:val="22"/>
          <w:highlight w:val="none"/>
        </w:rPr>
        <w:t>25/11/2</w:t>
      </w:r>
      <w:r>
        <w:rPr>
          <w:rFonts w:hint="default"/>
          <w:b/>
          <w:bCs/>
          <w:sz w:val="22"/>
          <w:szCs w:val="22"/>
          <w:highlight w:val="none"/>
          <w:lang w:val="pt-BR"/>
        </w:rPr>
        <w:t>02</w:t>
      </w:r>
      <w:r>
        <w:rPr>
          <w:b/>
          <w:bCs/>
          <w:sz w:val="22"/>
          <w:szCs w:val="22"/>
          <w:highlight w:val="none"/>
        </w:rPr>
        <w:t>1</w:t>
      </w:r>
    </w:p>
    <w:p>
      <w:pPr>
        <w:jc w:val="both"/>
      </w:pPr>
      <w:r>
        <w:rPr>
          <w:sz w:val="22"/>
          <w:szCs w:val="22"/>
        </w:rPr>
        <w:t>HORA:</w:t>
      </w:r>
      <w:r>
        <w:rPr>
          <w:b/>
          <w:bCs/>
          <w:sz w:val="22"/>
          <w:szCs w:val="22"/>
          <w:highlight w:val="none"/>
        </w:rPr>
        <w:t xml:space="preserve"> 08</w:t>
      </w:r>
      <w:r>
        <w:rPr>
          <w:rFonts w:hint="default"/>
          <w:b/>
          <w:bCs/>
          <w:sz w:val="22"/>
          <w:szCs w:val="22"/>
          <w:highlight w:val="none"/>
          <w:lang w:val="pt-BR"/>
        </w:rPr>
        <w:t>h</w:t>
      </w:r>
      <w:r>
        <w:rPr>
          <w:b/>
          <w:bCs/>
          <w:sz w:val="22"/>
          <w:szCs w:val="22"/>
          <w:highlight w:val="none"/>
        </w:rPr>
        <w:t>00</w:t>
      </w:r>
      <w:r>
        <w:rPr>
          <w:rFonts w:hint="default"/>
          <w:b/>
          <w:bCs/>
          <w:sz w:val="22"/>
          <w:szCs w:val="22"/>
          <w:highlight w:val="none"/>
          <w:lang w:val="pt-BR"/>
        </w:rPr>
        <w:t>min</w:t>
      </w:r>
      <w:r>
        <w:rPr>
          <w:b/>
          <w:bCs/>
          <w:sz w:val="22"/>
          <w:szCs w:val="22"/>
          <w:highlight w:val="none"/>
        </w:rPr>
        <w:t xml:space="preserve"> </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156/</w:t>
      </w:r>
      <w:r>
        <w:rPr>
          <w:rFonts w:ascii="Times New Roman" w:hAnsi="Times New Roman" w:eastAsia="Arial Unicode MS" w:cs="Times New Roman"/>
          <w:color w:val="000000"/>
          <w:szCs w:val="22"/>
        </w:rPr>
        <w:t>2021</w:t>
      </w:r>
    </w:p>
    <w:p>
      <w:pPr>
        <w:jc w:val="both"/>
      </w:pPr>
      <w:r>
        <w:rPr>
          <w:b/>
          <w:sz w:val="22"/>
          <w:szCs w:val="22"/>
        </w:rPr>
        <w:t xml:space="preserve">DATA DE ABERTURA: </w:t>
      </w:r>
      <w:r>
        <w:rPr>
          <w:b/>
          <w:sz w:val="22"/>
          <w:szCs w:val="22"/>
          <w:u w:val="single"/>
        </w:rPr>
        <w:t>25/11/2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HORÁRIO: 08</w:t>
      </w:r>
      <w:r>
        <w:rPr>
          <w:rFonts w:hint="default" w:ascii="Times New Roman" w:hAnsi="Times New Roman" w:cs="Times New Roman"/>
          <w:szCs w:val="22"/>
          <w:lang w:val="pt-BR"/>
        </w:rPr>
        <w:t>h</w:t>
      </w:r>
      <w:r>
        <w:rPr>
          <w:rFonts w:ascii="Times New Roman" w:hAnsi="Times New Roman" w:cs="Times New Roman"/>
          <w:szCs w:val="22"/>
        </w:rPr>
        <w:t>00</w:t>
      </w:r>
      <w:r>
        <w:rPr>
          <w:rFonts w:hint="default" w:ascii="Times New Roman" w:hAnsi="Times New Roman" w:cs="Times New Roman"/>
          <w:szCs w:val="22"/>
          <w:lang w:val="pt-BR"/>
        </w:rPr>
        <w:t>min</w:t>
      </w:r>
      <w:r>
        <w:rPr>
          <w:rFonts w:ascii="Times New Roman" w:hAnsi="Times New Roman" w:cs="Times New Roman"/>
          <w:szCs w:val="22"/>
        </w:rPr>
        <w:t xml:space="preserve"> </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156/</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b/>
          <w:sz w:val="22"/>
          <w:szCs w:val="22"/>
          <w:u w:val="single"/>
        </w:rPr>
        <w:t>25/11/2</w:t>
      </w:r>
      <w:r>
        <w:rPr>
          <w:rFonts w:hint="default"/>
          <w:b/>
          <w:sz w:val="22"/>
          <w:szCs w:val="22"/>
          <w:u w:val="single"/>
          <w:lang w:val="pt-BR"/>
        </w:rPr>
        <w:t>02</w:t>
      </w:r>
      <w:r>
        <w:rPr>
          <w:b/>
          <w:sz w:val="22"/>
          <w:szCs w:val="22"/>
          <w:u w:val="single"/>
        </w:rPr>
        <w:t>1</w:t>
      </w:r>
    </w:p>
    <w:p>
      <w:pPr>
        <w:tabs>
          <w:tab w:val="left" w:pos="2835"/>
        </w:tabs>
        <w:jc w:val="both"/>
      </w:pPr>
      <w:r>
        <w:rPr>
          <w:b/>
          <w:sz w:val="22"/>
          <w:szCs w:val="22"/>
        </w:rPr>
        <w:t>HORÁRIO: 08</w:t>
      </w:r>
      <w:r>
        <w:rPr>
          <w:rFonts w:hint="default"/>
          <w:b/>
          <w:sz w:val="22"/>
          <w:szCs w:val="22"/>
          <w:lang w:val="pt-BR"/>
        </w:rPr>
        <w:t>h</w:t>
      </w:r>
      <w:r>
        <w:rPr>
          <w:b/>
          <w:sz w:val="22"/>
          <w:szCs w:val="22"/>
        </w:rPr>
        <w:t>00</w:t>
      </w:r>
      <w:r>
        <w:rPr>
          <w:rFonts w:hint="default"/>
          <w:b/>
          <w:sz w:val="22"/>
          <w:szCs w:val="22"/>
          <w:lang w:val="pt-BR"/>
        </w:rPr>
        <w:t>min</w:t>
      </w:r>
      <w:r>
        <w:rPr>
          <w:b/>
          <w:sz w:val="22"/>
          <w:szCs w:val="22"/>
        </w:rPr>
        <w:t xml:space="preserve"> </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R$ 12.447,00 ( doze mil quatrocentos e quarenta e sete reais)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rPr>
          <w:rFonts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lang w:val="pt-BR"/>
        </w:rPr>
        <w:t xml:space="preserve">8.2.8 </w:t>
      </w:r>
      <w:r>
        <w:rPr>
          <w:rFonts w:ascii="Times New Roman" w:hAnsi="Times New Roman" w:eastAsia="Times New Roman" w:cs="Times New Roman"/>
          <w:b/>
          <w:bCs/>
          <w:sz w:val="24"/>
          <w:szCs w:val="24"/>
        </w:rPr>
        <w:t>Apresentar comprovação de</w:t>
      </w:r>
      <w:r>
        <w:rPr>
          <w:rFonts w:hint="default" w:ascii="Times New Roman" w:hAnsi="Times New Roman" w:eastAsia="Times New Roman" w:cs="Times New Roman"/>
          <w:b/>
          <w:bCs/>
          <w:sz w:val="24"/>
          <w:szCs w:val="24"/>
          <w:lang w:val="pt-BR"/>
        </w:rPr>
        <w:t xml:space="preserve"> </w:t>
      </w:r>
      <w:r>
        <w:rPr>
          <w:rFonts w:ascii="Times New Roman" w:hAnsi="Times New Roman" w:eastAsia="Times New Roman" w:cs="Times New Roman"/>
          <w:b/>
          <w:bCs/>
          <w:sz w:val="24"/>
          <w:szCs w:val="24"/>
        </w:rPr>
        <w:t>registro valido no  CNES;</w:t>
      </w:r>
    </w:p>
    <w:p>
      <w:pPr>
        <w:ind w:left="0" w:right="-142" w:firstLine="0"/>
        <w:jc w:val="both"/>
        <w:rPr>
          <w:rFonts w:ascii="Times New Roman" w:hAnsi="Times New Roman" w:eastAsia="Times New Roman" w:cs="Times New Roman"/>
          <w:b/>
          <w:bCs/>
          <w:sz w:val="24"/>
          <w:szCs w:val="24"/>
        </w:rPr>
      </w:pPr>
    </w:p>
    <w:p>
      <w:pPr>
        <w:ind w:left="0" w:right="-142" w:firstLine="0"/>
        <w:jc w:val="both"/>
        <w:rPr>
          <w:rFonts w:ascii="Times New Roman" w:hAnsi="Times New Roman" w:eastAsia="Times New Roman" w:cs="Times New Roman"/>
          <w:b/>
          <w:bCs/>
          <w:sz w:val="24"/>
          <w:szCs w:val="24"/>
        </w:rPr>
      </w:pPr>
      <w:r>
        <w:rPr>
          <w:rFonts w:hint="default" w:ascii="Times New Roman" w:hAnsi="Times New Roman" w:eastAsia="Times New Roman" w:cs="Times New Roman"/>
          <w:b/>
          <w:bCs/>
          <w:sz w:val="24"/>
          <w:szCs w:val="24"/>
          <w:lang w:val="pt-BR"/>
        </w:rPr>
        <w:t xml:space="preserve">8.2.9 </w:t>
      </w:r>
      <w:r>
        <w:rPr>
          <w:rFonts w:ascii="Times New Roman" w:hAnsi="Times New Roman" w:eastAsia="Times New Roman" w:cs="Times New Roman"/>
          <w:b/>
          <w:bCs/>
          <w:sz w:val="24"/>
          <w:szCs w:val="24"/>
        </w:rPr>
        <w:t>Apresentar comprovação de que a empresa esta cadastrada no SISCAN – Sistema de Informações do Câncer.</w:t>
      </w:r>
    </w:p>
    <w:p>
      <w:pPr>
        <w:ind w:left="0" w:right="-142" w:firstLine="0"/>
        <w:jc w:val="both"/>
        <w:rPr>
          <w:rFonts w:ascii="Times New Roman" w:hAnsi="Times New Roman" w:eastAsia="Times New Roman" w:cs="Times New Roman"/>
          <w:b/>
          <w:bCs/>
          <w:sz w:val="24"/>
          <w:szCs w:val="24"/>
        </w:rPr>
      </w:pPr>
    </w:p>
    <w:p>
      <w:pPr>
        <w:ind w:left="0" w:right="-142" w:firstLine="0"/>
        <w:jc w:val="both"/>
      </w:pPr>
      <w:r>
        <w:rPr>
          <w:b/>
          <w:bCs/>
          <w:sz w:val="22"/>
          <w:szCs w:val="22"/>
        </w:rPr>
        <w:t>8.2.</w:t>
      </w:r>
      <w:r>
        <w:rPr>
          <w:rFonts w:hint="default"/>
          <w:b/>
          <w:bCs/>
          <w:sz w:val="22"/>
          <w:szCs w:val="22"/>
          <w:lang w:val="pt-BR"/>
        </w:rPr>
        <w:t>10</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w:t>
      </w:r>
      <w:r>
        <w:rPr>
          <w:rFonts w:hint="default"/>
          <w:b/>
          <w:bCs/>
          <w:sz w:val="22"/>
          <w:szCs w:val="22"/>
          <w:lang w:val="pt-BR"/>
        </w:rPr>
        <w:t>11</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w:t>
      </w:r>
      <w:r>
        <w:rPr>
          <w:rFonts w:hint="default"/>
          <w:b/>
          <w:sz w:val="22"/>
          <w:szCs w:val="22"/>
          <w:lang w:val="pt-BR"/>
        </w:rPr>
        <w:t>1</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suppressAutoHyphens w:val="0"/>
        <w:autoSpaceDN w:val="0"/>
        <w:adjustRightInd w:val="0"/>
        <w:jc w:val="both"/>
        <w:rPr>
          <w:sz w:val="24"/>
          <w:szCs w:val="24"/>
        </w:rPr>
      </w:pPr>
      <w:r>
        <w:rPr>
          <w:b/>
          <w:sz w:val="24"/>
          <w:szCs w:val="24"/>
          <w:u w:val="single"/>
        </w:rPr>
        <w:t>11.2.1</w:t>
      </w:r>
      <w:r>
        <w:rPr>
          <w:sz w:val="24"/>
          <w:szCs w:val="24"/>
        </w:rPr>
        <w:t xml:space="preserve"> A empresa  </w:t>
      </w:r>
      <w:r>
        <w:rPr>
          <w:b/>
          <w:bCs/>
          <w:sz w:val="24"/>
          <w:szCs w:val="24"/>
        </w:rPr>
        <w:t xml:space="preserve">para assinatura </w:t>
      </w:r>
      <w:r>
        <w:rPr>
          <w:rFonts w:hint="default"/>
          <w:b/>
          <w:bCs/>
          <w:sz w:val="24"/>
          <w:szCs w:val="24"/>
          <w:lang w:val="pt-BR"/>
        </w:rPr>
        <w:t>do Contrato</w:t>
      </w:r>
      <w:r>
        <w:rPr>
          <w:sz w:val="24"/>
          <w:szCs w:val="24"/>
        </w:rPr>
        <w:t xml:space="preserve"> deverá apresentar os seguintes documentos</w:t>
      </w:r>
      <w:r>
        <w:rPr>
          <w:rFonts w:hint="default"/>
          <w:sz w:val="24"/>
          <w:szCs w:val="24"/>
          <w:lang w:val="pt-BR"/>
        </w:rPr>
        <w:t>:</w:t>
      </w:r>
      <w:r>
        <w:rPr>
          <w:sz w:val="24"/>
          <w:szCs w:val="24"/>
        </w:rPr>
        <w:t xml:space="preserve"> </w:t>
      </w:r>
    </w:p>
    <w:p>
      <w:pPr>
        <w:suppressAutoHyphens w:val="0"/>
        <w:autoSpaceDN w:val="0"/>
        <w:adjustRightInd w:val="0"/>
        <w:jc w:val="both"/>
        <w:rPr>
          <w:sz w:val="24"/>
          <w:szCs w:val="24"/>
        </w:rPr>
      </w:pPr>
    </w:p>
    <w:p>
      <w:pPr>
        <w:pStyle w:val="176"/>
        <w:numPr>
          <w:ilvl w:val="0"/>
          <w:numId w:val="6"/>
        </w:numPr>
        <w:suppressAutoHyphens w:val="0"/>
        <w:autoSpaceDN w:val="0"/>
        <w:adjustRightInd w:val="0"/>
        <w:jc w:val="both"/>
        <w:rPr>
          <w:sz w:val="21"/>
          <w:szCs w:val="21"/>
          <w:highlight w:val="yellow"/>
          <w:lang w:eastAsia="pt-BR"/>
        </w:rPr>
      </w:pPr>
      <w:r>
        <w:rPr>
          <w:sz w:val="21"/>
          <w:szCs w:val="21"/>
          <w:highlight w:val="yellow"/>
          <w:lang w:eastAsia="pt-BR"/>
        </w:rPr>
        <w:t>Alvará de licença sanitária, expedido pela unidade competente, da esfera Estadual ou Municipal, da sede da empresa licitante, observada a sua validade;</w:t>
      </w:r>
    </w:p>
    <w:p>
      <w:pPr>
        <w:autoSpaceDN w:val="0"/>
        <w:adjustRightInd w:val="0"/>
        <w:ind w:left="1418"/>
        <w:rPr>
          <w:sz w:val="18"/>
          <w:szCs w:val="18"/>
          <w:highlight w:val="yellow"/>
          <w:lang w:eastAsia="pt-BR"/>
        </w:rPr>
      </w:pPr>
    </w:p>
    <w:p>
      <w:pPr>
        <w:numPr>
          <w:ilvl w:val="0"/>
          <w:numId w:val="6"/>
        </w:numPr>
        <w:ind w:left="720" w:leftChars="0" w:right="-241" w:hanging="360" w:firstLineChars="0"/>
        <w:jc w:val="both"/>
        <w:rPr>
          <w:sz w:val="21"/>
          <w:szCs w:val="21"/>
          <w:highlight w:val="yellow"/>
          <w:lang w:eastAsia="pt-BR"/>
        </w:rPr>
      </w:pPr>
      <w:r>
        <w:rPr>
          <w:rFonts w:hint="default"/>
          <w:sz w:val="21"/>
          <w:szCs w:val="21"/>
          <w:highlight w:val="yellow"/>
          <w:lang w:eastAsia="pt-BR"/>
        </w:rPr>
        <w:t>Alvará de Licença para Funcionamento, expedido pelo órgão competente do município da licitante, observando sua validade</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10 1001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302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504</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19</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339039050000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7793</w:t>
            </w:r>
          </w:p>
        </w:tc>
      </w:tr>
    </w:tbl>
    <w:p>
      <w:pPr>
        <w:jc w:val="both"/>
        <w:rPr>
          <w:sz w:val="22"/>
          <w:szCs w:val="22"/>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 xml:space="preserve">14 – </w:t>
      </w:r>
      <w:r>
        <w:rPr>
          <w:rFonts w:ascii="Times New Roman" w:hAnsi="Times New Roman" w:eastAsia="Times New Roman" w:cs="Times New Roman"/>
          <w:b/>
          <w:bCs/>
          <w:i w:val="0"/>
          <w:color w:val="auto"/>
          <w:sz w:val="24"/>
          <w:szCs w:val="24"/>
          <w:lang w:val="pt-BR" w:eastAsia="zh-CN" w:bidi="ar-SA"/>
        </w:rPr>
        <w:t>DA PRESTAÇÃO DOS SERVIÇOS:</w:t>
      </w:r>
    </w:p>
    <w:p>
      <w:pPr>
        <w:rPr>
          <w:rFonts w:ascii="Times New Roman" w:hAnsi="Times New Roman" w:cs="Times New Roman"/>
          <w:b/>
          <w:bCs/>
          <w:i/>
          <w:color w:val="000000"/>
          <w:sz w:val="24"/>
          <w:szCs w:val="24"/>
          <w:lang w:eastAsia="pt-BR"/>
        </w:rPr>
      </w:pPr>
    </w:p>
    <w:p>
      <w:pPr>
        <w:jc w:val="both"/>
        <w:rPr>
          <w:rFonts w:hint="default"/>
          <w:b/>
          <w:bCs/>
          <w:iCs/>
          <w:sz w:val="22"/>
          <w:szCs w:val="22"/>
          <w:lang w:val="pt-BR"/>
        </w:rPr>
      </w:pPr>
      <w:r>
        <w:rPr>
          <w:b/>
          <w:bCs/>
          <w:sz w:val="22"/>
          <w:szCs w:val="22"/>
        </w:rPr>
        <w:t>14.1</w:t>
      </w:r>
      <w:r>
        <w:rPr>
          <w:sz w:val="22"/>
          <w:szCs w:val="22"/>
        </w:rPr>
        <w:t xml:space="preserve"> – </w:t>
      </w:r>
      <w:r>
        <w:rPr>
          <w:iCs/>
          <w:sz w:val="22"/>
          <w:szCs w:val="22"/>
        </w:rPr>
        <w:t xml:space="preserve">Os serviços serão solicitados pela gerência e deverão ser executados e entregues em local indicado na Ordem de Serviço pelo prazo máximo de </w:t>
      </w:r>
      <w:r>
        <w:rPr>
          <w:rFonts w:hint="default"/>
          <w:iCs/>
          <w:sz w:val="22"/>
          <w:szCs w:val="22"/>
          <w:lang w:val="pt-BR"/>
        </w:rPr>
        <w:t>1</w:t>
      </w:r>
      <w:r>
        <w:rPr>
          <w:iCs/>
          <w:sz w:val="22"/>
          <w:szCs w:val="22"/>
        </w:rPr>
        <w:t>5 (</w:t>
      </w:r>
      <w:r>
        <w:rPr>
          <w:rFonts w:hint="default"/>
          <w:iCs/>
          <w:sz w:val="22"/>
          <w:szCs w:val="22"/>
          <w:lang w:val="pt-BR"/>
        </w:rPr>
        <w:t>quinze</w:t>
      </w:r>
      <w:r>
        <w:rPr>
          <w:iCs/>
          <w:sz w:val="22"/>
          <w:szCs w:val="22"/>
        </w:rPr>
        <w:t>) dias úteis, a contar do recebimento da ordem devidamente assinada</w:t>
      </w:r>
      <w:r>
        <w:rPr>
          <w:rFonts w:hint="default"/>
          <w:iCs/>
          <w:sz w:val="22"/>
          <w:szCs w:val="22"/>
          <w:lang w:val="pt-BR"/>
        </w:rPr>
        <w:t xml:space="preserve">, </w:t>
      </w:r>
      <w:r>
        <w:rPr>
          <w:rFonts w:hint="default"/>
          <w:b/>
          <w:bCs/>
          <w:iCs/>
          <w:sz w:val="22"/>
          <w:szCs w:val="22"/>
          <w:lang w:val="pt-BR"/>
        </w:rPr>
        <w:t>sendo que a empresa adjudicatária será responsável pela realização dos exames, pelo transporte das amostras da unidade até o laboratório vencedor e seus respectivos resultados.</w:t>
      </w:r>
    </w:p>
    <w:p>
      <w:pPr>
        <w:jc w:val="both"/>
        <w:rPr>
          <w:rFonts w:hint="default"/>
          <w:b/>
          <w:bCs/>
          <w:iCs/>
          <w:sz w:val="22"/>
          <w:szCs w:val="22"/>
          <w:lang w:val="pt-BR"/>
        </w:rPr>
      </w:pPr>
    </w:p>
    <w:p>
      <w:pPr>
        <w:jc w:val="both"/>
        <w:rPr>
          <w:rFonts w:hint="default"/>
          <w:b/>
          <w:bCs/>
          <w:iCs/>
          <w:sz w:val="22"/>
          <w:szCs w:val="22"/>
          <w:lang w:val="pt-BR"/>
        </w:rPr>
      </w:pPr>
      <w:r>
        <w:rPr>
          <w:rFonts w:hint="default"/>
          <w:b/>
          <w:bCs/>
          <w:iCs/>
          <w:sz w:val="22"/>
          <w:szCs w:val="22"/>
          <w:lang w:val="pt-BR"/>
        </w:rPr>
        <w:t>14.1.1 - As coletas serão realizadas em todas as Unidades Básicas de Saúde deste município, onde os pacientes deverão procurar atendimento em sua Unidade pertencente.</w:t>
      </w:r>
    </w:p>
    <w:p>
      <w:pPr>
        <w:jc w:val="both"/>
        <w:rPr>
          <w:rFonts w:hint="default"/>
          <w:b/>
          <w:bCs/>
          <w:iCs/>
          <w:sz w:val="22"/>
          <w:szCs w:val="22"/>
          <w:lang w:val="pt-BR"/>
        </w:rPr>
      </w:pPr>
    </w:p>
    <w:p>
      <w:pPr>
        <w:jc w:val="both"/>
        <w:rPr>
          <w:rFonts w:hint="default"/>
          <w:b/>
          <w:bCs/>
          <w:iCs/>
          <w:sz w:val="22"/>
          <w:szCs w:val="22"/>
          <w:lang w:val="pt-BR"/>
        </w:rPr>
      </w:pPr>
      <w:r>
        <w:rPr>
          <w:rFonts w:hint="default"/>
          <w:b/>
          <w:bCs/>
          <w:iCs/>
          <w:sz w:val="22"/>
          <w:szCs w:val="22"/>
          <w:lang w:val="pt-BR"/>
        </w:rPr>
        <w:t>14.1.2 - Após pedido médico na campanha novembro azul, o material será coletado durante uma semana específica (ainda não definida no mês de dezembro);</w:t>
      </w:r>
    </w:p>
    <w:p>
      <w:pPr>
        <w:jc w:val="both"/>
        <w:rPr>
          <w:rFonts w:hint="default"/>
          <w:b/>
          <w:bCs/>
          <w:iCs/>
          <w:sz w:val="22"/>
          <w:szCs w:val="22"/>
          <w:lang w:val="pt-BR"/>
        </w:rPr>
      </w:pPr>
    </w:p>
    <w:p>
      <w:pPr>
        <w:jc w:val="both"/>
        <w:rPr>
          <w:rFonts w:hint="default"/>
          <w:b/>
          <w:bCs/>
          <w:iCs/>
          <w:sz w:val="22"/>
          <w:szCs w:val="22"/>
          <w:lang w:val="pt-BR"/>
        </w:rPr>
      </w:pPr>
      <w:r>
        <w:rPr>
          <w:rFonts w:hint="default"/>
          <w:b/>
          <w:bCs/>
          <w:iCs/>
          <w:sz w:val="22"/>
          <w:szCs w:val="22"/>
          <w:lang w:val="pt-BR"/>
        </w:rPr>
        <w:t>14.1.3 - Após a realização das coletas, o laboratório vencedor do certame deverá recolher as amostras em cada Unidade de Saúde do Município de Naviraí - MS diariamente, durante a semana a ser definida até que se finde o quantitativo da campanha.</w:t>
      </w:r>
    </w:p>
    <w:p>
      <w:pPr>
        <w:jc w:val="both"/>
        <w:rPr>
          <w:iCs/>
          <w:sz w:val="22"/>
          <w:szCs w:val="22"/>
        </w:rPr>
      </w:pPr>
    </w:p>
    <w:p>
      <w:pPr>
        <w:jc w:val="both"/>
      </w:pPr>
      <w:r>
        <w:rPr>
          <w:b/>
          <w:bCs/>
          <w:sz w:val="22"/>
          <w:szCs w:val="22"/>
        </w:rPr>
        <w:t>14.2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desde que avisado a pregoeira por telefone o envio dos mesmos.</w:t>
      </w:r>
      <w:r>
        <w:rPr>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color w:val="000000"/>
          <w:sz w:val="22"/>
          <w:szCs w:val="22"/>
        </w:rPr>
      </w:pPr>
      <w:r>
        <w:rPr>
          <w:sz w:val="24"/>
          <w:szCs w:val="24"/>
        </w:rPr>
        <w:t>Anexo IX - Ficha De Cadastro De Representante;</w:t>
      </w: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jc w:val="right"/>
      </w:pPr>
      <w:r>
        <w:rPr>
          <w:sz w:val="22"/>
          <w:szCs w:val="22"/>
        </w:rPr>
        <w:t>Naviraí - MS, 05 de novembro de 2021</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Pr>
        <w:pStyle w:val="7"/>
        <w:jc w:val="center"/>
        <w:rPr>
          <w:rFonts w:ascii="Times New Roman" w:hAnsi="Times New Roman" w:cs="Times New Roman"/>
          <w:bCs/>
          <w:i w:val="0"/>
          <w:color w:val="000000"/>
          <w:sz w:val="22"/>
          <w:szCs w:val="22"/>
          <w:lang w:val="pt-BR"/>
        </w:rPr>
      </w:pPr>
    </w:p>
    <w:p/>
    <w:p/>
    <w:p/>
    <w:p>
      <w:pPr>
        <w:rPr>
          <w:rFonts w:ascii="Times New Roman" w:hAnsi="Times New Roman" w:cs="Times New Roman"/>
          <w:b/>
          <w:bCs/>
          <w:i w:val="0"/>
          <w:sz w:val="22"/>
          <w:szCs w:val="22"/>
        </w:rPr>
      </w:pPr>
      <w:r>
        <w:rPr>
          <w:rFonts w:ascii="Times New Roman" w:hAnsi="Times New Roman" w:cs="Times New Roman"/>
          <w:b/>
          <w:bCs/>
          <w:i w:val="0"/>
          <w:sz w:val="22"/>
          <w:szCs w:val="22"/>
        </w:rPr>
        <w:br w:type="page"/>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rPr>
          <w:rFonts w:ascii="Times New Roman" w:hAnsi="Times New Roman" w:cs="Times New Roman"/>
          <w:b/>
          <w:bCs/>
          <w:i w:val="0"/>
          <w:sz w:val="22"/>
          <w:szCs w:val="22"/>
        </w:rPr>
      </w:pPr>
      <w:r>
        <w:drawing>
          <wp:inline distT="0" distB="0" distL="114300" distR="114300">
            <wp:extent cx="5704840" cy="271145"/>
            <wp:effectExtent l="0" t="0" r="10160" b="146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6"/>
                    <a:stretch>
                      <a:fillRect/>
                    </a:stretch>
                  </pic:blipFill>
                  <pic:spPr>
                    <a:xfrm>
                      <a:off x="0" y="0"/>
                      <a:ext cx="5704840" cy="271145"/>
                    </a:xfrm>
                    <a:prstGeom prst="rect">
                      <a:avLst/>
                    </a:prstGeom>
                    <a:noFill/>
                    <a:ln>
                      <a:noFill/>
                    </a:ln>
                  </pic:spPr>
                </pic:pic>
              </a:graphicData>
            </a:graphic>
          </wp:inline>
        </w:drawing>
      </w:r>
    </w:p>
    <w:p>
      <w:pPr>
        <w:pStyle w:val="7"/>
      </w:pPr>
      <w:r>
        <w:rPr>
          <w:rFonts w:ascii="Times New Roman" w:hAnsi="Times New Roman" w:cs="Times New Roman"/>
          <w:b/>
          <w:bCs/>
          <w:i w:val="0"/>
          <w:sz w:val="22"/>
          <w:szCs w:val="22"/>
        </w:rPr>
        <w:t>1.Objeto: CONTRATAÇÃO DE EMPRESA ESPECIALIZADA NA REALIZAÇÃO DE EXAMES CONFORME TERMO DE REFERÊNCIA, PARA ATENDER  DEMANDA DA CAMPANHA "NOVEMBRO AZUL". SOLICITAÇÃO GERÊNCIA DE SAÚDE DO MUNICÍPIO DE NAVIRAÍ-MS. PEDIDO DE COMPRA Nº 119/2021.</w:t>
      </w:r>
    </w:p>
    <w:p>
      <w:pPr>
        <w:pStyle w:val="7"/>
        <w:rPr>
          <w:rFonts w:ascii="Times New Roman" w:hAnsi="Times New Roman" w:cs="Times New Roman"/>
          <w:b/>
          <w:bCs/>
          <w:i w:val="0"/>
          <w:sz w:val="22"/>
          <w:szCs w:val="22"/>
        </w:rPr>
      </w:pPr>
    </w:p>
    <w:tbl>
      <w:tblPr>
        <w:tblStyle w:val="12"/>
        <w:tblW w:w="9282" w:type="dxa"/>
        <w:tblInd w:w="-41" w:type="dxa"/>
        <w:tblLayout w:type="autofit"/>
        <w:tblCellMar>
          <w:top w:w="0" w:type="dxa"/>
          <w:left w:w="108" w:type="dxa"/>
          <w:bottom w:w="0" w:type="dxa"/>
          <w:right w:w="108" w:type="dxa"/>
        </w:tblCellMar>
      </w:tblPr>
      <w:tblGrid>
        <w:gridCol w:w="834"/>
        <w:gridCol w:w="835"/>
        <w:gridCol w:w="835"/>
        <w:gridCol w:w="697"/>
        <w:gridCol w:w="6081"/>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081"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39075</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900,0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081"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2"/>
                <w:szCs w:val="22"/>
              </w:rPr>
            </w:pPr>
            <w:r>
              <w:rPr>
                <w:rFonts w:eastAsia="Arial Unicode MS"/>
                <w:sz w:val="22"/>
                <w:szCs w:val="22"/>
              </w:rPr>
              <w:t>DOSAGEM DE ANTIGENO PROSTATICO ESPECIFICO (PSA TOTAL E PSA LIVRE</w:t>
            </w:r>
          </w:p>
        </w:tc>
      </w:tr>
    </w:tbl>
    <w:p>
      <w:pPr>
        <w:pStyle w:val="7"/>
        <w:rPr>
          <w:rFonts w:ascii="Times New Roman" w:hAnsi="Times New Roman" w:cs="Times New Roman"/>
          <w:b/>
          <w:bCs/>
          <w:i w:val="0"/>
          <w:sz w:val="22"/>
          <w:szCs w:val="22"/>
        </w:rPr>
      </w:pPr>
    </w:p>
    <w:p>
      <w:pPr>
        <w:rPr>
          <w:rFonts w:ascii="Times New Roman" w:hAnsi="Times New Roman" w:cs="Times New Roman"/>
          <w:b/>
          <w:bCs/>
          <w:i/>
          <w:sz w:val="22"/>
          <w:szCs w:val="22"/>
          <w:lang w:val="pt-BR"/>
        </w:rPr>
      </w:pPr>
    </w:p>
    <w:p>
      <w:pPr>
        <w:rPr>
          <w:sz w:val="22"/>
          <w:szCs w:val="22"/>
        </w:rPr>
      </w:pPr>
      <w:r>
        <w:drawing>
          <wp:inline distT="0" distB="0" distL="114300" distR="114300">
            <wp:extent cx="5697855" cy="3129915"/>
            <wp:effectExtent l="0" t="0" r="17145" b="133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7"/>
                    <a:stretch>
                      <a:fillRect/>
                    </a:stretch>
                  </pic:blipFill>
                  <pic:spPr>
                    <a:xfrm>
                      <a:off x="0" y="0"/>
                      <a:ext cx="5697855" cy="3129915"/>
                    </a:xfrm>
                    <a:prstGeom prst="rect">
                      <a:avLst/>
                    </a:prstGeom>
                    <a:noFill/>
                    <a:ln>
                      <a:noFill/>
                    </a:ln>
                  </pic:spPr>
                </pic:pic>
              </a:graphicData>
            </a:graphic>
          </wp:inline>
        </w:drawing>
      </w:r>
    </w:p>
    <w:p>
      <w:pPr>
        <w:rPr>
          <w:sz w:val="22"/>
          <w:szCs w:val="22"/>
        </w:rPr>
      </w:pPr>
    </w:p>
    <w:p>
      <w:pPr>
        <w:rPr>
          <w:sz w:val="22"/>
          <w:szCs w:val="22"/>
        </w:rPr>
      </w:pPr>
    </w:p>
    <w:p>
      <w:pPr>
        <w:rPr>
          <w:sz w:val="22"/>
          <w:szCs w:val="22"/>
        </w:rPr>
      </w:pPr>
      <w:r>
        <w:drawing>
          <wp:inline distT="0" distB="0" distL="114300" distR="114300">
            <wp:extent cx="5700395" cy="2317750"/>
            <wp:effectExtent l="0" t="0" r="14605" b="63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8"/>
                    <a:stretch>
                      <a:fillRect/>
                    </a:stretch>
                  </pic:blipFill>
                  <pic:spPr>
                    <a:xfrm>
                      <a:off x="0" y="0"/>
                      <a:ext cx="5700395" cy="2317750"/>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702300" cy="8395335"/>
            <wp:effectExtent l="0" t="0" r="1270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9"/>
                    <a:stretch>
                      <a:fillRect/>
                    </a:stretch>
                  </pic:blipFill>
                  <pic:spPr>
                    <a:xfrm>
                      <a:off x="0" y="0"/>
                      <a:ext cx="5702300" cy="839533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r>
        <w:drawing>
          <wp:inline distT="0" distB="0" distL="114300" distR="114300">
            <wp:extent cx="5711825" cy="3228975"/>
            <wp:effectExtent l="0" t="0" r="3175"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0"/>
                    <a:stretch>
                      <a:fillRect/>
                    </a:stretch>
                  </pic:blipFill>
                  <pic:spPr>
                    <a:xfrm>
                      <a:off x="0" y="0"/>
                      <a:ext cx="5711825" cy="3228975"/>
                    </a:xfrm>
                    <a:prstGeom prst="rect">
                      <a:avLst/>
                    </a:prstGeom>
                    <a:noFill/>
                    <a:ln>
                      <a:noFill/>
                    </a:ln>
                  </pic:spPr>
                </pic:pic>
              </a:graphicData>
            </a:graphic>
          </wp:inline>
        </w:drawing>
      </w:r>
    </w:p>
    <w:p>
      <w:r>
        <w:drawing>
          <wp:inline distT="0" distB="0" distL="114300" distR="114300">
            <wp:extent cx="5710555" cy="2634615"/>
            <wp:effectExtent l="0" t="0" r="4445" b="133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1"/>
                    <a:stretch>
                      <a:fillRect/>
                    </a:stretch>
                  </pic:blipFill>
                  <pic:spPr>
                    <a:xfrm>
                      <a:off x="0" y="0"/>
                      <a:ext cx="5710555" cy="263461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1109"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156/</w:t>
            </w:r>
            <w:r>
              <w:rPr>
                <w:rFonts w:eastAsia="Arial Unicode MS"/>
                <w:b/>
                <w:color w:val="FF0000"/>
                <w:sz w:val="22"/>
                <w:szCs w:val="22"/>
                <w:highlight w:val="yellow"/>
              </w:rPr>
              <w:t>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900,0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DOSAGEM DE ANTIGENO PROSTATICO ESPECIFICO (PSA TOTAL E PSA LIVRE</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156/2021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1111" w:left="709" w:header="284" w:footer="289" w:gutter="0"/>
          <w:pgNumType w:fmt="decimal"/>
          <w:cols w:space="0" w:num="1"/>
          <w:formProt w:val="0"/>
          <w:rtlGutter w:val="0"/>
          <w:docGrid w:linePitch="360" w:charSpace="0"/>
        </w:sectPr>
      </w:pPr>
      <w:r>
        <w:rPr>
          <w:rFonts w:eastAsia="Times New Roman"/>
          <w:sz w:val="22"/>
          <w:szCs w:val="22"/>
        </w:rPr>
        <w:t xml:space="preserve">                                                                                                            </w:t>
      </w:r>
      <w:r>
        <w:rPr>
          <w:rFonts w:eastAsia="Arial Unicode MS"/>
          <w:sz w:val="22"/>
          <w:szCs w:val="22"/>
        </w:rPr>
        <w:t>CPF n°.....................................</w:t>
      </w:r>
    </w:p>
    <w:p>
      <w:pPr>
        <w:jc w:val="right"/>
        <w:rPr>
          <w:rFonts w:eastAsia="Arial Unicode MS"/>
          <w:sz w:val="22"/>
          <w:szCs w:val="22"/>
        </w:rPr>
      </w:pPr>
    </w:p>
    <w:p>
      <w:pPr>
        <w:jc w:val="right"/>
        <w:rPr>
          <w:rFonts w:eastAsia="Arial Unicode MS"/>
          <w:sz w:val="22"/>
          <w:szCs w:val="22"/>
        </w:rPr>
      </w:pPr>
    </w:p>
    <w:p>
      <w:pPr>
        <w:jc w:val="center"/>
      </w:pPr>
      <w:r>
        <w:rPr>
          <w:b/>
          <w:bCs/>
          <w:sz w:val="22"/>
          <w:szCs w:val="22"/>
        </w:rPr>
        <w:t>PREGÃO PRESENCIAL Nº. 156/2021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Saúde, com sede a Avenida Amélia Fukuda nº. 100, inscrito no CGC/MF sob o n.º 11.221.619/0001-42</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rPr>
          <w:sz w:val="22"/>
          <w:szCs w:val="22"/>
        </w:rPr>
      </w:pPr>
      <w:r>
        <w:rPr>
          <w:sz w:val="22"/>
          <w:szCs w:val="22"/>
        </w:rPr>
        <w:t>II -</w:t>
      </w:r>
      <w:r>
        <w:rPr>
          <w:sz w:val="22"/>
          <w:szCs w:val="22"/>
        </w:rPr>
        <w:tab/>
      </w:r>
      <w:r>
        <w:rPr>
          <w:sz w:val="22"/>
          <w:szCs w:val="22"/>
        </w:rPr>
        <w:t xml:space="preserve"> REPRESENTANTES: Representa a CONTRATANTE </w:t>
      </w: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272/2021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156/2021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rPr>
          <w:b/>
          <w:bCs/>
        </w:rPr>
      </w:pPr>
      <w:r>
        <w:rPr>
          <w:iCs/>
          <w:sz w:val="22"/>
          <w:szCs w:val="22"/>
        </w:rPr>
        <w:t xml:space="preserve">- Constitui objeto deste Contrato a </w:t>
      </w:r>
      <w:r>
        <w:rPr>
          <w:b/>
          <w:bCs/>
          <w:iCs/>
          <w:sz w:val="22"/>
          <w:szCs w:val="22"/>
        </w:rPr>
        <w:t>CONTRATAÇÃO DE EMPRESA ESPECIALIZADA NA REALIZAÇÃO DE EXAMES CONFORME TERMO DE REFERÊNCIA, PARA ATENDER  DEMANDA DA CAMPANHA "NOVEMBRO AZUL". SOLICITAÇÃO GERÊNCIA DE SAÚDE DO MUNICÍPIO DE NAVIRAÍ-MS. PEDIDO DE COMPRA Nº 119/2021.</w:t>
      </w:r>
    </w:p>
    <w:p>
      <w:pPr>
        <w:widowControl w:val="0"/>
        <w:ind w:left="0" w:right="-568" w:firstLine="0"/>
        <w:jc w:val="both"/>
        <w:rPr>
          <w:iCs/>
          <w:sz w:val="22"/>
          <w:szCs w:val="22"/>
        </w:rPr>
      </w:pPr>
    </w:p>
    <w:p>
      <w:pPr>
        <w:widowControl w:val="0"/>
        <w:ind w:left="0" w:right="-568" w:firstLine="0"/>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jc w:val="both"/>
        <w:rPr>
          <w:iCs/>
          <w:sz w:val="22"/>
          <w:szCs w:val="22"/>
        </w:rPr>
      </w:pPr>
      <w:r>
        <w:rPr>
          <w:iCs/>
          <w:sz w:val="22"/>
          <w:szCs w:val="22"/>
        </w:rPr>
        <w:t xml:space="preserve">  </w:t>
      </w:r>
    </w:p>
    <w:tbl>
      <w:tblPr>
        <w:tblStyle w:val="12"/>
        <w:tblW w:w="9068" w:type="dxa"/>
        <w:tblInd w:w="-7" w:type="dxa"/>
        <w:tblLayout w:type="autofit"/>
        <w:tblCellMar>
          <w:top w:w="0" w:type="dxa"/>
          <w:left w:w="108" w:type="dxa"/>
          <w:bottom w:w="0" w:type="dxa"/>
          <w:right w:w="108" w:type="dxa"/>
        </w:tblCellMar>
      </w:tblPr>
      <w:tblGrid>
        <w:gridCol w:w="968"/>
        <w:gridCol w:w="894"/>
        <w:gridCol w:w="1027"/>
        <w:gridCol w:w="6179"/>
      </w:tblGrid>
      <w:tr>
        <w:tblPrEx>
          <w:tblCellMar>
            <w:top w:w="0" w:type="dxa"/>
            <w:left w:w="108" w:type="dxa"/>
            <w:bottom w:w="0" w:type="dxa"/>
            <w:right w:w="108" w:type="dxa"/>
          </w:tblCellMar>
        </w:tblPrEx>
        <w:trPr>
          <w:trHeight w:val="364" w:hRule="atLeast"/>
        </w:trPr>
        <w:tc>
          <w:tcPr>
            <w:tcW w:w="968"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894"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617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968"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94"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900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617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DOSAGEM DE ANTIGENO PROSTATICO ESPECIFICO (PSA TOTAL E PSA LIVRE</w:t>
            </w:r>
          </w:p>
        </w:tc>
      </w:tr>
    </w:tbl>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 xml:space="preserve">CLÁUSULA TERCEIRA - FORMA DE </w:t>
      </w:r>
      <w:r>
        <w:rPr>
          <w:rFonts w:hint="default"/>
          <w:b/>
          <w:iCs/>
          <w:sz w:val="22"/>
          <w:szCs w:val="22"/>
          <w:lang w:val="pt-BR"/>
        </w:rPr>
        <w:t>PRESTAÇÃO DE SERVIÇO</w:t>
      </w:r>
    </w:p>
    <w:p>
      <w:pPr>
        <w:jc w:val="both"/>
        <w:rPr>
          <w:b/>
          <w:iCs/>
          <w:sz w:val="22"/>
          <w:szCs w:val="22"/>
        </w:rPr>
      </w:pPr>
    </w:p>
    <w:p>
      <w:pPr>
        <w:jc w:val="both"/>
        <w:rPr>
          <w:rFonts w:hint="default"/>
          <w:b/>
          <w:bCs/>
          <w:iCs/>
          <w:sz w:val="22"/>
          <w:szCs w:val="22"/>
          <w:lang w:val="pt-BR"/>
        </w:rPr>
      </w:pPr>
      <w:r>
        <w:rPr>
          <w:rFonts w:hint="default"/>
          <w:b/>
          <w:bCs/>
          <w:sz w:val="22"/>
          <w:szCs w:val="22"/>
          <w:lang w:val="pt-BR"/>
        </w:rPr>
        <w:t>3</w:t>
      </w:r>
      <w:r>
        <w:rPr>
          <w:b/>
          <w:bCs/>
          <w:sz w:val="22"/>
          <w:szCs w:val="22"/>
        </w:rPr>
        <w:t>.1</w:t>
      </w:r>
      <w:r>
        <w:rPr>
          <w:sz w:val="22"/>
          <w:szCs w:val="22"/>
        </w:rPr>
        <w:t xml:space="preserve"> – </w:t>
      </w:r>
      <w:r>
        <w:rPr>
          <w:iCs/>
          <w:sz w:val="22"/>
          <w:szCs w:val="22"/>
        </w:rPr>
        <w:t xml:space="preserve">Os serviços serão solicitados pela gerência e deverão ser executados e entregues em local indicado na Ordem de Serviço pelo prazo máximo de </w:t>
      </w:r>
      <w:r>
        <w:rPr>
          <w:rFonts w:hint="default"/>
          <w:iCs/>
          <w:sz w:val="22"/>
          <w:szCs w:val="22"/>
          <w:lang w:val="pt-BR"/>
        </w:rPr>
        <w:t>1</w:t>
      </w:r>
      <w:r>
        <w:rPr>
          <w:iCs/>
          <w:sz w:val="22"/>
          <w:szCs w:val="22"/>
        </w:rPr>
        <w:t>5 (</w:t>
      </w:r>
      <w:r>
        <w:rPr>
          <w:rFonts w:hint="default"/>
          <w:iCs/>
          <w:sz w:val="22"/>
          <w:szCs w:val="22"/>
          <w:lang w:val="pt-BR"/>
        </w:rPr>
        <w:t>quinze</w:t>
      </w:r>
      <w:r>
        <w:rPr>
          <w:iCs/>
          <w:sz w:val="22"/>
          <w:szCs w:val="22"/>
        </w:rPr>
        <w:t>) dias úteis, a contar do recebimento da ordem devidamente assinada</w:t>
      </w:r>
      <w:r>
        <w:rPr>
          <w:rFonts w:hint="default"/>
          <w:iCs/>
          <w:sz w:val="22"/>
          <w:szCs w:val="22"/>
          <w:lang w:val="pt-BR"/>
        </w:rPr>
        <w:t xml:space="preserve">, </w:t>
      </w:r>
      <w:r>
        <w:rPr>
          <w:rFonts w:hint="default"/>
          <w:b/>
          <w:bCs/>
          <w:iCs/>
          <w:sz w:val="22"/>
          <w:szCs w:val="22"/>
          <w:lang w:val="pt-BR"/>
        </w:rPr>
        <w:t>sendo que a empresa adjudicatária será responsável pela realização dos exames, pelo transporte das amostras da unidade até o laboratório vencedor e seus respectivos resultados.</w:t>
      </w:r>
    </w:p>
    <w:p>
      <w:pPr>
        <w:jc w:val="both"/>
        <w:rPr>
          <w:rFonts w:hint="default"/>
          <w:b/>
          <w:bCs/>
          <w:iCs/>
          <w:sz w:val="22"/>
          <w:szCs w:val="22"/>
          <w:lang w:val="pt-BR"/>
        </w:rPr>
      </w:pPr>
    </w:p>
    <w:p>
      <w:pPr>
        <w:jc w:val="both"/>
        <w:rPr>
          <w:rFonts w:hint="default"/>
          <w:b/>
          <w:bCs/>
          <w:iCs/>
          <w:sz w:val="22"/>
          <w:szCs w:val="22"/>
          <w:lang w:val="pt-BR"/>
        </w:rPr>
      </w:pPr>
      <w:r>
        <w:rPr>
          <w:rFonts w:hint="default"/>
          <w:b/>
          <w:bCs/>
          <w:iCs/>
          <w:sz w:val="22"/>
          <w:szCs w:val="22"/>
          <w:lang w:val="pt-BR"/>
        </w:rPr>
        <w:t>3.1.1 - As coletas serão realizadas em todas as Unidades Básicas de Saúde deste município, onde os pacientes deverão procurar atendimento em sua Unidade pertencente.</w:t>
      </w:r>
    </w:p>
    <w:p>
      <w:pPr>
        <w:jc w:val="both"/>
        <w:rPr>
          <w:rFonts w:hint="default"/>
          <w:b/>
          <w:bCs/>
          <w:iCs/>
          <w:sz w:val="22"/>
          <w:szCs w:val="22"/>
          <w:lang w:val="pt-BR"/>
        </w:rPr>
      </w:pPr>
    </w:p>
    <w:p>
      <w:pPr>
        <w:jc w:val="both"/>
        <w:rPr>
          <w:rFonts w:hint="default"/>
          <w:b/>
          <w:bCs/>
          <w:iCs/>
          <w:sz w:val="22"/>
          <w:szCs w:val="22"/>
          <w:lang w:val="pt-BR"/>
        </w:rPr>
      </w:pPr>
      <w:r>
        <w:rPr>
          <w:rFonts w:hint="default"/>
          <w:b/>
          <w:bCs/>
          <w:iCs/>
          <w:sz w:val="22"/>
          <w:szCs w:val="22"/>
          <w:lang w:val="pt-BR"/>
        </w:rPr>
        <w:t>3.1.2 - Após pedido médico na campanha novembro azul, o material será coletado durante uma semana específica (ainda não definida no mês de dezembro);</w:t>
      </w:r>
    </w:p>
    <w:p>
      <w:pPr>
        <w:jc w:val="both"/>
        <w:rPr>
          <w:rFonts w:hint="default"/>
          <w:b/>
          <w:bCs/>
          <w:iCs/>
          <w:sz w:val="22"/>
          <w:szCs w:val="22"/>
          <w:lang w:val="pt-BR"/>
        </w:rPr>
      </w:pPr>
    </w:p>
    <w:p>
      <w:pPr>
        <w:jc w:val="both"/>
        <w:rPr>
          <w:rFonts w:hint="default"/>
          <w:b/>
          <w:bCs/>
          <w:iCs/>
          <w:sz w:val="22"/>
          <w:szCs w:val="22"/>
          <w:lang w:val="pt-BR"/>
        </w:rPr>
      </w:pPr>
      <w:r>
        <w:rPr>
          <w:rFonts w:hint="default"/>
          <w:b/>
          <w:bCs/>
          <w:iCs/>
          <w:sz w:val="22"/>
          <w:szCs w:val="22"/>
          <w:lang w:val="pt-BR"/>
        </w:rPr>
        <w:t>3.1.3 - Após a realização das coletas, o laboratório vencedor do certame deverá recolher as amostras em cada Unidade de Saúde do Município de Naviraí - MS diariamente, durante a semana a ser definida até que se finde o quantitativo da campanha.</w:t>
      </w:r>
    </w:p>
    <w:p>
      <w:pPr>
        <w:jc w:val="both"/>
        <w:rPr>
          <w:iCs/>
          <w:sz w:val="22"/>
          <w:szCs w:val="22"/>
        </w:rPr>
      </w:pPr>
    </w:p>
    <w:p>
      <w:pPr>
        <w:jc w:val="both"/>
      </w:pPr>
      <w:r>
        <w:rPr>
          <w:rFonts w:hint="default"/>
          <w:b/>
          <w:bCs/>
          <w:sz w:val="22"/>
          <w:szCs w:val="22"/>
          <w:lang w:val="pt-BR"/>
        </w:rPr>
        <w:t>3</w:t>
      </w:r>
      <w:r>
        <w:rPr>
          <w:b/>
          <w:bCs/>
          <w:sz w:val="22"/>
          <w:szCs w:val="22"/>
        </w:rPr>
        <w:t>.2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rFonts w:hint="default"/>
          <w:b/>
          <w:bCs/>
          <w:sz w:val="22"/>
          <w:szCs w:val="22"/>
          <w:lang w:val="pt-BR"/>
        </w:rPr>
        <w:t>3</w:t>
      </w:r>
      <w:r>
        <w:rPr>
          <w:b/>
          <w:bCs/>
          <w:sz w:val="22"/>
          <w:szCs w:val="22"/>
        </w:rPr>
        <w:t>.3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rFonts w:hint="default"/>
          <w:b/>
          <w:bCs/>
          <w:sz w:val="22"/>
          <w:szCs w:val="22"/>
          <w:lang w:val="pt-BR"/>
        </w:rPr>
        <w:t>3</w:t>
      </w:r>
      <w:r>
        <w:rPr>
          <w:b/>
          <w:bCs/>
          <w:sz w:val="22"/>
          <w:szCs w:val="22"/>
        </w:rPr>
        <w:t>.4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vAlign w:val="top"/>
          </w:tcPr>
          <w:p>
            <w:pPr>
              <w:jc w:val="center"/>
              <w:rPr>
                <w:b/>
                <w:color w:val="FF0000"/>
                <w:sz w:val="22"/>
                <w:szCs w:val="22"/>
                <w:lang w:eastAsia="pt-BR"/>
              </w:rPr>
            </w:pPr>
            <w:r>
              <w:rPr>
                <w:b/>
                <w:color w:val="FF0000"/>
                <w:sz w:val="22"/>
                <w:szCs w:val="22"/>
                <w:lang w:eastAsia="pt-BR"/>
              </w:rPr>
              <w:t xml:space="preserve">10 1001 </w:t>
            </w:r>
          </w:p>
        </w:tc>
        <w:tc>
          <w:tcPr>
            <w:tcW w:w="992" w:type="dxa"/>
            <w:tcBorders>
              <w:top w:val="single" w:color="000000" w:sz="4" w:space="0"/>
              <w:left w:val="single" w:color="000000" w:sz="4" w:space="0"/>
              <w:bottom w:val="single" w:color="000000" w:sz="4" w:space="0"/>
            </w:tcBorders>
            <w:vAlign w:val="top"/>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vAlign w:val="top"/>
          </w:tcPr>
          <w:p>
            <w:pPr>
              <w:jc w:val="center"/>
              <w:rPr>
                <w:b/>
                <w:color w:val="FF0000"/>
                <w:sz w:val="22"/>
                <w:szCs w:val="22"/>
                <w:lang w:eastAsia="pt-BR"/>
              </w:rPr>
            </w:pPr>
            <w:r>
              <w:rPr>
                <w:b/>
                <w:color w:val="FF0000"/>
                <w:sz w:val="22"/>
                <w:szCs w:val="22"/>
                <w:lang w:eastAsia="pt-BR"/>
              </w:rPr>
              <w:t>302</w:t>
            </w:r>
          </w:p>
        </w:tc>
        <w:tc>
          <w:tcPr>
            <w:tcW w:w="1134" w:type="dxa"/>
            <w:tcBorders>
              <w:top w:val="single" w:color="000000" w:sz="4" w:space="0"/>
              <w:left w:val="single" w:color="000000" w:sz="4" w:space="0"/>
              <w:bottom w:val="single" w:color="000000" w:sz="4" w:space="0"/>
            </w:tcBorders>
            <w:vAlign w:val="top"/>
          </w:tcPr>
          <w:p>
            <w:pPr>
              <w:jc w:val="center"/>
              <w:rPr>
                <w:b/>
                <w:color w:val="FF0000"/>
                <w:sz w:val="22"/>
                <w:szCs w:val="22"/>
                <w:lang w:eastAsia="pt-BR"/>
              </w:rPr>
            </w:pPr>
            <w:r>
              <w:rPr>
                <w:b/>
                <w:color w:val="FF0000"/>
                <w:sz w:val="22"/>
                <w:szCs w:val="22"/>
                <w:lang w:eastAsia="pt-BR"/>
              </w:rPr>
              <w:t>504</w:t>
            </w:r>
          </w:p>
        </w:tc>
        <w:tc>
          <w:tcPr>
            <w:tcW w:w="709" w:type="dxa"/>
            <w:tcBorders>
              <w:top w:val="single" w:color="000000" w:sz="4" w:space="0"/>
              <w:left w:val="single" w:color="000000" w:sz="4" w:space="0"/>
              <w:bottom w:val="single" w:color="000000" w:sz="4" w:space="0"/>
            </w:tcBorders>
            <w:vAlign w:val="top"/>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vAlign w:val="top"/>
          </w:tcPr>
          <w:p>
            <w:pPr>
              <w:jc w:val="center"/>
              <w:rPr>
                <w:b/>
                <w:color w:val="FF0000"/>
                <w:sz w:val="22"/>
                <w:szCs w:val="22"/>
                <w:lang w:eastAsia="pt-BR"/>
              </w:rPr>
            </w:pPr>
            <w:r>
              <w:rPr>
                <w:b/>
                <w:color w:val="FF0000"/>
                <w:sz w:val="22"/>
                <w:szCs w:val="22"/>
                <w:lang w:eastAsia="pt-BR"/>
              </w:rPr>
              <w:t>19</w:t>
            </w:r>
          </w:p>
        </w:tc>
        <w:tc>
          <w:tcPr>
            <w:tcW w:w="1985" w:type="dxa"/>
            <w:tcBorders>
              <w:top w:val="single" w:color="000000" w:sz="4" w:space="0"/>
              <w:left w:val="single" w:color="000000" w:sz="4" w:space="0"/>
              <w:bottom w:val="single" w:color="000000" w:sz="4" w:space="0"/>
            </w:tcBorders>
            <w:vAlign w:val="top"/>
          </w:tcPr>
          <w:p>
            <w:pPr>
              <w:jc w:val="center"/>
              <w:rPr>
                <w:b/>
                <w:color w:val="FF0000"/>
                <w:sz w:val="22"/>
                <w:szCs w:val="22"/>
                <w:lang w:eastAsia="pt-BR"/>
              </w:rPr>
            </w:pPr>
            <w:r>
              <w:rPr>
                <w:b/>
                <w:color w:val="FF0000"/>
                <w:sz w:val="22"/>
                <w:szCs w:val="22"/>
                <w:lang w:eastAsia="pt-BR"/>
              </w:rPr>
              <w:t>339039050000</w:t>
            </w:r>
          </w:p>
        </w:tc>
        <w:tc>
          <w:tcPr>
            <w:tcW w:w="1712" w:type="dxa"/>
            <w:tcBorders>
              <w:top w:val="single" w:color="000000" w:sz="4" w:space="0"/>
              <w:left w:val="single" w:color="000000" w:sz="4" w:space="0"/>
              <w:bottom w:val="single" w:color="000000" w:sz="4" w:space="0"/>
              <w:right w:val="single" w:color="000000" w:sz="4" w:space="0"/>
            </w:tcBorders>
            <w:vAlign w:val="top"/>
          </w:tcPr>
          <w:p>
            <w:pPr>
              <w:jc w:val="center"/>
              <w:rPr>
                <w:b/>
                <w:color w:val="FF0000"/>
                <w:sz w:val="22"/>
                <w:szCs w:val="22"/>
                <w:lang w:eastAsia="pt-BR"/>
              </w:rPr>
            </w:pPr>
            <w:r>
              <w:rPr>
                <w:b/>
                <w:color w:val="FF0000"/>
                <w:sz w:val="22"/>
                <w:szCs w:val="22"/>
                <w:lang w:eastAsia="pt-BR"/>
              </w:rPr>
              <w:t>7793</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8"/>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bl>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272 / 2021</w:t>
      </w:r>
    </w:p>
    <w:p>
      <w:pPr>
        <w:tabs>
          <w:tab w:val="left" w:pos="10632"/>
          <w:tab w:val="left" w:pos="10773"/>
          <w:tab w:val="left" w:pos="10915"/>
          <w:tab w:val="left" w:pos="11199"/>
        </w:tabs>
        <w:spacing w:line="360" w:lineRule="auto"/>
        <w:jc w:val="both"/>
      </w:pPr>
      <w:r>
        <w:rPr>
          <w:b/>
          <w:sz w:val="24"/>
          <w:szCs w:val="24"/>
        </w:rPr>
        <w:t>PREGÃO PRESENCIAL Nº 156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CONTRATAÇÃO DE EMPRESA ESPECIALIZADA NA REALIZAÇÃO DE EXAMES CONFORME TERMO DE REFERÊNCIA, PARA ATENDER  DEMANDA DA CAMPANHA "NOVEMBRO AZUL". SOLICITAÇÃO GERÊNCIA DE SAÚDE DO MUNICÍPIO DE NAVIRAÍ-MS. PEDIDO DE COMPRA Nº 119/2021.</w:t>
      </w:r>
    </w:p>
    <w:p>
      <w:pPr>
        <w:tabs>
          <w:tab w:val="left" w:pos="10915"/>
        </w:tabs>
        <w:spacing w:line="274" w:lineRule="exact"/>
        <w:rPr>
          <w:b/>
          <w:sz w:val="24"/>
          <w:szCs w:val="24"/>
        </w:rPr>
      </w:pP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Saúde</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jc w:val="center"/>
        <w:rPr>
          <w:b/>
          <w:bCs/>
          <w:i/>
          <w:iCs/>
          <w:sz w:val="22"/>
          <w:szCs w:val="22"/>
        </w:rPr>
      </w:pPr>
    </w:p>
    <w:p>
      <w:pPr>
        <w:jc w:val="center"/>
        <w:rPr>
          <w:b/>
          <w:bCs/>
          <w:sz w:val="22"/>
          <w:szCs w:val="22"/>
        </w:rPr>
      </w:pPr>
    </w:p>
    <w:p>
      <w:pPr>
        <w:jc w:val="center"/>
      </w:pPr>
      <w:r>
        <w:rPr>
          <w:b/>
          <w:bCs/>
          <w:sz w:val="22"/>
          <w:szCs w:val="22"/>
        </w:rPr>
        <w:t>PREGÃO PRESENCIAL N° 156/2021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156/2021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156/2021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156/2021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156/2021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pPr>
      <w:r>
        <w:rPr>
          <w:b/>
          <w:bCs/>
          <w:sz w:val="22"/>
          <w:szCs w:val="22"/>
        </w:rPr>
        <w:t>PREGÃO PRESENCIAL N° 156/2021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4"/>
          <w:szCs w:val="24"/>
        </w:rPr>
      </w:pPr>
      <w:r>
        <w:rPr>
          <w:sz w:val="24"/>
          <w:szCs w:val="24"/>
        </w:rPr>
        <w:br w:type="page"/>
      </w:r>
    </w:p>
    <w:p>
      <w:pPr>
        <w:jc w:val="center"/>
        <w:rPr>
          <w:b/>
          <w:bCs/>
          <w:sz w:val="22"/>
          <w:szCs w:val="22"/>
        </w:rPr>
      </w:pPr>
    </w:p>
    <w:p>
      <w:pPr>
        <w:jc w:val="center"/>
      </w:pPr>
      <w:r>
        <w:rPr>
          <w:b/>
          <w:bCs/>
          <w:sz w:val="22"/>
          <w:szCs w:val="22"/>
        </w:rPr>
        <w:t>PREGÃO PRESENCIAL N° 15</w:t>
      </w:r>
      <w:r>
        <w:rPr>
          <w:rFonts w:hint="default"/>
          <w:b/>
          <w:bCs/>
          <w:sz w:val="22"/>
          <w:szCs w:val="22"/>
          <w:lang w:val="pt-BR"/>
        </w:rPr>
        <w:t>6</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p>
      <w:pPr>
        <w:rPr>
          <w:sz w:val="24"/>
          <w:szCs w:val="24"/>
        </w:rPr>
      </w:pPr>
    </w:p>
    <w:sectPr>
      <w:pgSz w:w="11906" w:h="16838"/>
      <w:pgMar w:top="1843" w:right="1109"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Straight Connector 3"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t20&#10;0tYAAAAHAQAADwAAAAAAAAABACAAAAAiAAAAZHJzL2Rvd25yZXYueG1sUEsBAhQAFAAAAAgAh07i&#10;QBbf3OmyAQAAbwMAAA4AAAAAAAAAAQAgAAAAJQEAAGRycy9lMm9Eb2MueG1sUEsFBgAAAAAGAAYA&#10;WQEAAEkFA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rPr>
        <w:rFonts w:hint="default" w:ascii="Times New Roman" w:hAnsi="Times New Roman" w:cs="Times New Roman"/>
      </w:rP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35</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cs="David"/>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Straight Connector 2"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vc8zdkAAAALAQAADwAAAAAAAAABACAAAAAiAAAAZHJzL2Rvd25yZXYueG1sUEsBAhQAFAAAAAgA&#10;h07iQHciovqyAQAAcAMAAA4AAAAAAAAAAQAgAAAAKAEAAGRycy9lMm9Eb2MueG1sUEsFBgAAAAAG&#10;AAYAWQEAAEw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lowerLetter"/>
      <w:lvlText w:val="%1)"/>
      <w:lvlJc w:val="left"/>
      <w:pPr>
        <w:tabs>
          <w:tab w:val="left" w:pos="1257"/>
        </w:tabs>
        <w:ind w:left="1257" w:hanging="690"/>
      </w:pPr>
    </w:lvl>
  </w:abstractNum>
  <w:abstractNum w:abstractNumId="1">
    <w:nsid w:val="C8879AEF"/>
    <w:multiLevelType w:val="singleLevel"/>
    <w:tmpl w:val="C8879AEF"/>
    <w:lvl w:ilvl="0" w:tentative="0">
      <w:start w:val="1"/>
      <w:numFmt w:val="upperRoman"/>
      <w:lvlText w:val="%1-"/>
      <w:lvlJc w:val="left"/>
      <w:pPr>
        <w:ind w:left="900" w:hanging="360"/>
      </w:pPr>
    </w:lvl>
  </w:abstractNum>
  <w:abstractNum w:abstractNumId="2">
    <w:nsid w:val="0248C179"/>
    <w:multiLevelType w:val="multilevel"/>
    <w:tmpl w:val="0248C179"/>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3">
    <w:nsid w:val="03D62ECE"/>
    <w:multiLevelType w:val="multilevel"/>
    <w:tmpl w:val="03D62EC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157D0AC0"/>
    <w:multiLevelType w:val="multilevel"/>
    <w:tmpl w:val="157D0AC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5B654F3"/>
    <w:multiLevelType w:val="singleLevel"/>
    <w:tmpl w:val="25B654F3"/>
    <w:lvl w:ilvl="0" w:tentative="0">
      <w:start w:val="1"/>
      <w:numFmt w:val="lowerLetter"/>
      <w:lvlText w:val="%1)"/>
      <w:lvlJc w:val="left"/>
      <w:pPr>
        <w:tabs>
          <w:tab w:val="left" w:pos="720"/>
        </w:tabs>
        <w:ind w:left="720" w:hanging="360"/>
      </w:pPr>
    </w:lvl>
  </w:abstractNum>
  <w:abstractNum w:abstractNumId="6">
    <w:nsid w:val="2A8F537B"/>
    <w:multiLevelType w:val="multilevel"/>
    <w:tmpl w:val="2A8F537B"/>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7">
    <w:nsid w:val="5A241D34"/>
    <w:multiLevelType w:val="singleLevel"/>
    <w:tmpl w:val="5A241D34"/>
    <w:lvl w:ilvl="0" w:tentative="0">
      <w:start w:val="1"/>
      <w:numFmt w:val="upperRoman"/>
      <w:lvlText w:val="%1-"/>
      <w:lvlJc w:val="left"/>
      <w:pPr>
        <w:ind w:left="900" w:hanging="720"/>
      </w:pPr>
      <w:rPr>
        <w:lang w:val="pt-BR"/>
      </w:rPr>
    </w:lvl>
  </w:abstractNum>
  <w:abstractNum w:abstractNumId="8">
    <w:nsid w:val="72183CF9"/>
    <w:multiLevelType w:val="singleLevel"/>
    <w:tmpl w:val="72183CF9"/>
    <w:lvl w:ilvl="0" w:tentative="0">
      <w:start w:val="1"/>
      <w:numFmt w:val="lowerLetter"/>
      <w:lvlText w:val="%1)"/>
      <w:lvlJc w:val="left"/>
      <w:pPr>
        <w:tabs>
          <w:tab w:val="left" w:pos="720"/>
        </w:tabs>
        <w:ind w:left="720" w:hanging="360"/>
      </w:pPr>
    </w:lvl>
  </w:abstractNum>
  <w:num w:numId="1">
    <w:abstractNumId w:val="3"/>
  </w:num>
  <w:num w:numId="2">
    <w:abstractNumId w:val="5"/>
  </w:num>
  <w:num w:numId="3">
    <w:abstractNumId w:val="8"/>
  </w:num>
  <w:num w:numId="4">
    <w:abstractNumId w:val="2"/>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282408"/>
    <w:rsid w:val="714520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autoSpaceDE/>
      <w:textAlignment w:val="auto"/>
    </w:pPr>
    <w:rPr>
      <w:sz w:val="24"/>
      <w:szCs w:val="24"/>
      <w:lang w:val="pt-BR"/>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11825</Words>
  <Characters>69331</Characters>
  <Paragraphs>771</Paragraphs>
  <TotalTime>3</TotalTime>
  <ScaleCrop>false</ScaleCrop>
  <LinksUpToDate>false</LinksUpToDate>
  <CharactersWithSpaces>81151</CharactersWithSpaces>
  <Application>WPS Office_11.2.0.10351_F1E327BC-269C-435d-A152-05C5408002CA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2021-11-05T12:44:00Z</cp:lastPrinted>
  <dcterms:modified xsi:type="dcterms:W3CDTF">2021-11-09T15:33:38Z</dcterms:modified>
  <dc:title>Convite nº Número da Modalidade/Ano do Processo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1046-11.2.0.10351</vt:lpwstr>
  </property>
  <property fmtid="{D5CDD505-2E9C-101B-9397-08002B2CF9AE}" pid="14" name="ICV">
    <vt:lpwstr>F6FCE7404A704350932CFB432405FCBA</vt:lpwstr>
  </property>
</Properties>
</file>