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r>
        <w:rPr>
          <w:b/>
          <w:bCs/>
          <w:color w:val="000000"/>
          <w:sz w:val="24"/>
          <w:szCs w:val="24"/>
        </w:rPr>
        <w:t>EDITAL</w:t>
      </w:r>
    </w:p>
    <w:p>
      <w:pPr>
        <w:rPr>
          <w:b/>
          <w:bCs/>
          <w:color w:val="000000"/>
          <w:sz w:val="24"/>
          <w:szCs w:val="24"/>
        </w:rPr>
      </w:pPr>
    </w:p>
    <w:p>
      <w:pPr>
        <w:pStyle w:val="232"/>
      </w:pPr>
      <w:r>
        <w:rPr>
          <w:rFonts w:ascii="Times New Roman" w:hAnsi="Times New Roman" w:cs="Times New Roman"/>
          <w:sz w:val="24"/>
        </w:rPr>
        <w:t>PROCESSO LICITATÓRIO Nº. 28</w:t>
      </w:r>
      <w:r>
        <w:rPr>
          <w:rFonts w:ascii="Times New Roman" w:hAnsi="Times New Roman" w:cs="Times New Roman"/>
          <w:sz w:val="24"/>
          <w:highlight w:val="none"/>
        </w:rPr>
        <w:t>3/2021</w:t>
      </w:r>
    </w:p>
    <w:p>
      <w:pPr>
        <w:jc w:val="center"/>
      </w:pPr>
      <w:r>
        <w:rPr>
          <w:b/>
          <w:bCs/>
          <w:sz w:val="24"/>
          <w:szCs w:val="24"/>
        </w:rPr>
        <w:t>PREGÃO PRESENCIAL N°. 161/2021</w:t>
      </w:r>
    </w:p>
    <w:p>
      <w:pPr>
        <w:rPr>
          <w:b/>
          <w:bCs/>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Gerente de Finanças e Ordenador de Despesas conforme Decreto nº. 024/2021,</w:t>
      </w:r>
      <w:r>
        <w:t xml:space="preserve">torna público que a equipe de Pregoeiras instituída pelas Portarias nº. 388 389 390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 por Item”</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rPr>
          <w:rFonts w:hint="default"/>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08h00min</w:t>
      </w:r>
      <w:r>
        <w:rPr>
          <w:b/>
          <w:bCs/>
          <w:sz w:val="24"/>
          <w:szCs w:val="24"/>
        </w:rPr>
        <w:t xml:space="preserve"> do dia</w:t>
      </w:r>
      <w:r>
        <w:rPr>
          <w:rFonts w:hint="default"/>
          <w:b/>
          <w:bCs/>
          <w:sz w:val="24"/>
          <w:szCs w:val="24"/>
          <w:lang w:val="pt-BR"/>
        </w:rPr>
        <w:t xml:space="preserve"> 06 de dezembro de 2021.</w:t>
      </w:r>
    </w:p>
    <w:p>
      <w:pPr>
        <w:pStyle w:val="25"/>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REGISTRO DE PREÇOS OBJETIVANDO A CONTRATAÇÃO FUTURA DE EMPRESA ESPECIALIZADA EM RECARGA DE EXTI</w:t>
      </w:r>
      <w:r>
        <w:rPr>
          <w:rFonts w:hint="default"/>
          <w:b/>
          <w:bCs/>
          <w:sz w:val="24"/>
          <w:szCs w:val="24"/>
          <w:lang w:val="pt-BR"/>
        </w:rPr>
        <w:t>N</w:t>
      </w:r>
      <w:r>
        <w:rPr>
          <w:b/>
          <w:bCs/>
          <w:sz w:val="24"/>
          <w:szCs w:val="24"/>
        </w:rPr>
        <w:t xml:space="preserve">TORES DE </w:t>
      </w:r>
      <w:r>
        <w:rPr>
          <w:b/>
          <w:bCs/>
          <w:sz w:val="24"/>
          <w:szCs w:val="24"/>
          <w:lang w:val="pt-BR"/>
        </w:rPr>
        <w:t>INCÊNDIO</w:t>
      </w:r>
      <w:r>
        <w:rPr>
          <w:b/>
          <w:bCs/>
          <w:sz w:val="24"/>
          <w:szCs w:val="24"/>
        </w:rPr>
        <w:t xml:space="preserve"> PREDIAL E VEICULARES CONFORME TERMO DE REFERENCIA, PARA ATENDER SOLICITAÇÃO DA </w:t>
      </w:r>
      <w:r>
        <w:rPr>
          <w:b/>
          <w:bCs/>
          <w:sz w:val="24"/>
          <w:szCs w:val="24"/>
          <w:lang w:val="pt-BR"/>
        </w:rPr>
        <w:t>GERÊNCIA</w:t>
      </w:r>
      <w:r>
        <w:rPr>
          <w:b/>
          <w:bCs/>
          <w:sz w:val="24"/>
          <w:szCs w:val="24"/>
        </w:rPr>
        <w:t xml:space="preserve"> DE ADMINISTRAÇÃO DO MUNICÍPIO DE NAVIRAÍ-MS. PEDIDO DE SERVIÇO Nº 393/2021.</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lang w:val="pt-BR"/>
        </w:rPr>
        <w:t>06</w:t>
      </w:r>
      <w:r>
        <w:rPr>
          <w:b/>
          <w:sz w:val="24"/>
          <w:szCs w:val="24"/>
        </w:rPr>
        <w:t>/</w:t>
      </w:r>
      <w:r>
        <w:rPr>
          <w:rFonts w:hint="default"/>
          <w:b/>
          <w:sz w:val="24"/>
          <w:szCs w:val="24"/>
          <w:lang w:val="pt-BR"/>
        </w:rPr>
        <w:t>12</w:t>
      </w:r>
      <w:r>
        <w:rPr>
          <w:b/>
          <w:sz w:val="24"/>
          <w:szCs w:val="24"/>
        </w:rPr>
        <w:t>/2</w:t>
      </w:r>
      <w:r>
        <w:rPr>
          <w:rFonts w:hint="default"/>
          <w:b/>
          <w:sz w:val="24"/>
          <w:szCs w:val="24"/>
          <w:lang w:val="pt-BR"/>
        </w:rPr>
        <w:t>02</w:t>
      </w:r>
      <w:r>
        <w:rPr>
          <w:b/>
          <w:sz w:val="24"/>
          <w:szCs w:val="24"/>
        </w:rPr>
        <w:t>1</w:t>
      </w:r>
    </w:p>
    <w:p>
      <w:pPr>
        <w:jc w:val="both"/>
        <w:rPr>
          <w:rFonts w:hint="default"/>
          <w:lang w:val="pt-BR"/>
        </w:rPr>
      </w:pPr>
      <w:r>
        <w:rPr>
          <w:sz w:val="24"/>
          <w:szCs w:val="24"/>
        </w:rPr>
        <w:t xml:space="preserve">HORA: </w:t>
      </w:r>
      <w:r>
        <w:rPr>
          <w:rFonts w:hint="default"/>
          <w:b/>
          <w:bCs/>
          <w:sz w:val="24"/>
          <w:szCs w:val="24"/>
          <w:lang w:val="pt-BR"/>
        </w:rPr>
        <w:t>08h00min</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ind w:left="0" w:firstLine="0"/>
        <w:jc w:val="both"/>
        <w:outlineLvl w:val="2"/>
      </w:pPr>
      <w:r>
        <w:rPr>
          <w:b/>
          <w:sz w:val="24"/>
          <w:szCs w:val="24"/>
          <w:lang w:eastAsia="pt-BR"/>
        </w:rPr>
        <w:t>PREGÃO PRESENCIAL Nº 161/2021</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u w:val="single"/>
          <w:lang w:val="pt-BR"/>
        </w:rPr>
        <w:t>06</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1</w:t>
      </w:r>
      <w:r>
        <w:rPr>
          <w:b/>
          <w:sz w:val="24"/>
          <w:szCs w:val="24"/>
        </w:rPr>
        <w:t xml:space="preserve"> </w:t>
      </w:r>
    </w:p>
    <w:p>
      <w:pPr>
        <w:keepNext/>
        <w:numPr>
          <w:ilvl w:val="0"/>
          <w:numId w:val="0"/>
        </w:numPr>
        <w:ind w:left="0" w:firstLine="0"/>
        <w:jc w:val="both"/>
        <w:outlineLvl w:val="3"/>
        <w:rPr>
          <w:rFonts w:hint="default"/>
          <w:lang w:val="en-US"/>
        </w:rPr>
      </w:pPr>
      <w:r>
        <w:rPr>
          <w:b/>
          <w:sz w:val="24"/>
          <w:szCs w:val="24"/>
          <w:lang w:eastAsia="pt-BR"/>
        </w:rPr>
        <w:t xml:space="preserve">HORÁRIO: </w:t>
      </w:r>
      <w:r>
        <w:rPr>
          <w:rFonts w:hint="default"/>
          <w:b/>
          <w:sz w:val="24"/>
          <w:szCs w:val="24"/>
          <w:lang w:val="en-US" w:eastAsia="pt-BR"/>
        </w:rPr>
        <w:t>08h00min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ind w:left="0" w:firstLine="0"/>
        <w:jc w:val="both"/>
        <w:outlineLvl w:val="4"/>
      </w:pPr>
      <w:r>
        <w:rPr>
          <w:b/>
          <w:sz w:val="24"/>
          <w:szCs w:val="24"/>
          <w:lang w:eastAsia="pt-BR"/>
        </w:rPr>
        <w:t>PREGÃO PRESENCIAL Nº 161/</w:t>
      </w:r>
      <w:r>
        <w:rPr>
          <w:rFonts w:eastAsia="Arial Unicode MS"/>
          <w:b/>
          <w:sz w:val="24"/>
          <w:szCs w:val="24"/>
          <w:lang w:eastAsia="pt-BR"/>
        </w:rPr>
        <w:t>2021</w:t>
      </w:r>
    </w:p>
    <w:p>
      <w:pPr>
        <w:tabs>
          <w:tab w:val="left" w:pos="0"/>
          <w:tab w:val="left" w:pos="2268"/>
          <w:tab w:val="left" w:pos="2552"/>
          <w:tab w:val="left" w:pos="2835"/>
        </w:tabs>
        <w:jc w:val="both"/>
      </w:pPr>
      <w:r>
        <w:rPr>
          <w:b/>
          <w:sz w:val="24"/>
          <w:szCs w:val="24"/>
        </w:rPr>
        <w:t xml:space="preserve">DATA DE ABERTURA: </w:t>
      </w:r>
      <w:r>
        <w:rPr>
          <w:rFonts w:hint="default"/>
          <w:b/>
          <w:sz w:val="24"/>
          <w:szCs w:val="24"/>
          <w:u w:val="single"/>
          <w:lang w:val="pt-BR"/>
        </w:rPr>
        <w:t>06</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1</w:t>
      </w:r>
    </w:p>
    <w:p>
      <w:pPr>
        <w:tabs>
          <w:tab w:val="left" w:pos="2835"/>
        </w:tabs>
        <w:jc w:val="both"/>
        <w:rPr>
          <w:rFonts w:hint="default"/>
          <w:lang w:val="pt-BR"/>
        </w:rPr>
      </w:pPr>
      <w:r>
        <w:rPr>
          <w:b/>
          <w:sz w:val="24"/>
          <w:szCs w:val="24"/>
        </w:rPr>
        <w:t xml:space="preserve">HORÁRIO: </w:t>
      </w:r>
      <w:r>
        <w:rPr>
          <w:rFonts w:hint="default"/>
          <w:b/>
          <w:sz w:val="24"/>
          <w:szCs w:val="24"/>
          <w:lang w:val="pt-BR"/>
        </w:rPr>
        <w:t>08h00min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w:t>
      </w:r>
      <w:r>
        <w:rPr>
          <w:rFonts w:hint="default" w:ascii="Times New Roman" w:hAnsi="Times New Roman" w:cs="Times New Roman"/>
          <w:i w:val="0"/>
          <w:szCs w:val="24"/>
          <w:lang w:val="pt-BR"/>
        </w:rPr>
        <w:t>1</w:t>
      </w:r>
      <w:r>
        <w:rPr>
          <w:rFonts w:ascii="Times New Roman" w:hAnsi="Times New Roman" w:cs="Times New Roman"/>
          <w:i w:val="0"/>
          <w:szCs w:val="24"/>
        </w:rPr>
        <w:t>h: 00min</w:t>
      </w:r>
      <w:r>
        <w:rPr>
          <w:rFonts w:hint="default" w:ascii="Times New Roman" w:hAnsi="Times New Roman" w:cs="Times New Roman"/>
          <w:i w:val="0"/>
          <w:szCs w:val="24"/>
          <w:lang w:val="pt-BR"/>
        </w:rPr>
        <w:t xml:space="preserve"> das 13</w:t>
      </w:r>
      <w:r>
        <w:rPr>
          <w:rFonts w:ascii="Times New Roman" w:hAnsi="Times New Roman" w:cs="Times New Roman"/>
          <w:i w:val="0"/>
          <w:szCs w:val="24"/>
        </w:rPr>
        <w:t>h: 00min às 1</w:t>
      </w:r>
      <w:r>
        <w:rPr>
          <w:rFonts w:hint="default" w:ascii="Times New Roman" w:hAnsi="Times New Roman" w:cs="Times New Roman"/>
          <w:i w:val="0"/>
          <w:szCs w:val="24"/>
          <w:lang w:val="pt-BR"/>
        </w:rPr>
        <w:t>7</w:t>
      </w:r>
      <w:r>
        <w:rPr>
          <w:rFonts w:ascii="Times New Roman" w:hAnsi="Times New Roman" w:cs="Times New Roman"/>
          <w:i w:val="0"/>
          <w:szCs w:val="24"/>
        </w:rPr>
        <w:t>h: 00min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rPr>
          <w:sz w:val="24"/>
          <w:szCs w:val="24"/>
        </w:rPr>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pStyle w:val="237"/>
        <w:ind w:left="0" w:right="0" w:firstLine="0"/>
      </w:pPr>
      <w:r>
        <w:rPr>
          <w:b/>
          <w:sz w:val="22"/>
        </w:rPr>
        <w:t>7.11</w:t>
      </w:r>
      <w:r>
        <w:rPr>
          <w:sz w:val="22"/>
        </w:rPr>
        <w:t xml:space="preserve"> - As propostas que eventualmente apresentarem erro de digitação de valores unitários, não serão desclassificada.</w:t>
      </w:r>
    </w:p>
    <w:p>
      <w:pPr>
        <w:jc w:val="both"/>
        <w:rPr>
          <w:sz w:val="24"/>
          <w:szCs w:val="24"/>
        </w:rPr>
      </w:pPr>
    </w:p>
    <w:p>
      <w:pPr>
        <w:pStyle w:val="237"/>
        <w:tabs>
          <w:tab w:val="left" w:pos="709"/>
        </w:tabs>
        <w:ind w:left="0" w:right="0" w:firstLine="0"/>
        <w:jc w:val="both"/>
        <w:textAlignment w:val="baseline"/>
        <w:rPr>
          <w:b/>
          <w:bCs/>
          <w:sz w:val="24"/>
          <w:szCs w:val="24"/>
        </w:rPr>
      </w:pPr>
      <w:r>
        <w:rPr>
          <w:b/>
          <w:bCs/>
          <w:sz w:val="24"/>
          <w:szCs w:val="24"/>
        </w:rPr>
        <w:t>7.12 DO VALOR ESTIMADO</w:t>
      </w:r>
    </w:p>
    <w:p>
      <w:pPr>
        <w:tabs>
          <w:tab w:val="left" w:pos="709"/>
        </w:tabs>
        <w:ind w:left="0" w:right="0" w:firstLine="6"/>
        <w:jc w:val="both"/>
        <w:rPr>
          <w:b/>
          <w:bCs/>
          <w:sz w:val="24"/>
          <w:szCs w:val="24"/>
        </w:rPr>
      </w:pPr>
    </w:p>
    <w:p>
      <w:pPr>
        <w:pStyle w:val="237"/>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R$ 40.222,07 (quarenta mil duzentos e vinte e dois reais e sete centavos).</w:t>
      </w:r>
    </w:p>
    <w:p>
      <w:pPr>
        <w:pStyle w:val="237"/>
        <w:tabs>
          <w:tab w:val="left" w:pos="709"/>
        </w:tabs>
        <w:ind w:left="0" w:right="0" w:firstLine="6"/>
        <w:jc w:val="both"/>
        <w:rPr>
          <w:b/>
          <w:iCs/>
          <w:sz w:val="24"/>
          <w:szCs w:val="24"/>
        </w:rPr>
      </w:pPr>
    </w:p>
    <w:p>
      <w:pPr>
        <w:shd w:val="clear" w:fill="D9D9D9"/>
        <w:tabs>
          <w:tab w:val="left" w:pos="709"/>
        </w:tabs>
        <w:overflowPunct w:val="0"/>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8.2.8</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8.2.9</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8.2.10</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Praça Prefeito Euclides Antonio Fabris nº 343 CEP 79950-000 Naviraí – MS, </w:t>
      </w:r>
      <w:r>
        <w:rPr>
          <w:sz w:val="24"/>
          <w:szCs w:val="24"/>
          <w:lang w:eastAsia="pt-BR"/>
        </w:rPr>
        <w:t>no horário das 7h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right="-241"/>
        <w:jc w:val="both"/>
        <w:rPr>
          <w:sz w:val="24"/>
          <w:szCs w:val="24"/>
        </w:rPr>
      </w:pPr>
      <w:r>
        <w:rPr>
          <w:b/>
          <w:sz w:val="24"/>
          <w:szCs w:val="24"/>
        </w:rPr>
        <w:t>11.2.1</w:t>
      </w:r>
      <w:r>
        <w:rPr>
          <w:sz w:val="24"/>
          <w:szCs w:val="24"/>
        </w:rPr>
        <w:t xml:space="preserve"> – A assinatura do Documento de Ata de Registro de Preço </w:t>
      </w:r>
      <w:r>
        <w:rPr>
          <w:b/>
          <w:sz w:val="24"/>
          <w:szCs w:val="24"/>
          <w:u w:val="single"/>
        </w:rPr>
        <w:t>deverá</w:t>
      </w:r>
      <w:r>
        <w:rPr>
          <w:sz w:val="24"/>
          <w:szCs w:val="24"/>
        </w:rPr>
        <w:t xml:space="preserve"> ser realizada no município de NAVIRAÍ-MS, o documento </w:t>
      </w:r>
      <w:r>
        <w:rPr>
          <w:b/>
          <w:sz w:val="24"/>
          <w:szCs w:val="24"/>
          <w:u w:val="single"/>
        </w:rPr>
        <w:t>não</w:t>
      </w:r>
      <w:r>
        <w:rPr>
          <w:sz w:val="24"/>
          <w:szCs w:val="24"/>
        </w:rPr>
        <w:t xml:space="preserve"> será enviado por nenhum mecanismo eletrônico, também não será aceita assinatura eletrônica, haja vista, que os autos do processo são físicos. O município está em fase de adequação e regulamentação sobre assinaturas digitais dessa forma nesse período ainda não é possível as assinaturas digitais de documentos emitidos pela administração municipal. </w:t>
      </w:r>
    </w:p>
    <w:p>
      <w:pPr>
        <w:ind w:right="-241"/>
        <w:jc w:val="both"/>
        <w:rPr>
          <w:sz w:val="24"/>
          <w:szCs w:val="24"/>
        </w:rPr>
      </w:pPr>
    </w:p>
    <w:p>
      <w:pPr>
        <w:pStyle w:val="239"/>
        <w:ind w:left="0"/>
        <w:jc w:val="both"/>
        <w:rPr>
          <w:rFonts w:hint="default"/>
          <w:sz w:val="24"/>
          <w:szCs w:val="24"/>
          <w:lang w:val="pt-BR"/>
        </w:rPr>
      </w:pPr>
      <w:r>
        <w:rPr>
          <w:rFonts w:hint="default"/>
          <w:b/>
          <w:bCs/>
          <w:sz w:val="24"/>
          <w:szCs w:val="24"/>
          <w:lang w:val="pt-BR"/>
        </w:rPr>
        <w:t>11.2.2</w:t>
      </w:r>
      <w:r>
        <w:rPr>
          <w:sz w:val="24"/>
          <w:szCs w:val="24"/>
        </w:rPr>
        <w:t xml:space="preserve"> – A empresa para </w:t>
      </w:r>
      <w:r>
        <w:rPr>
          <w:b/>
          <w:bCs/>
          <w:sz w:val="24"/>
          <w:szCs w:val="24"/>
        </w:rPr>
        <w:t>assinatura de Ata de Registro de Preço</w:t>
      </w:r>
      <w:r>
        <w:rPr>
          <w:sz w:val="24"/>
          <w:szCs w:val="24"/>
        </w:rPr>
        <w:t xml:space="preserve"> deverá apresentar os seguintes documentos</w:t>
      </w:r>
      <w:r>
        <w:rPr>
          <w:rFonts w:hint="default"/>
          <w:sz w:val="24"/>
          <w:szCs w:val="24"/>
          <w:lang w:val="pt-BR"/>
        </w:rPr>
        <w:t>:</w:t>
      </w:r>
    </w:p>
    <w:p>
      <w:pPr>
        <w:pStyle w:val="239"/>
        <w:ind w:left="0"/>
        <w:jc w:val="both"/>
        <w:rPr>
          <w:sz w:val="24"/>
          <w:szCs w:val="24"/>
        </w:rPr>
      </w:pPr>
    </w:p>
    <w:p>
      <w:pPr>
        <w:pStyle w:val="239"/>
        <w:numPr>
          <w:ilvl w:val="0"/>
          <w:numId w:val="5"/>
        </w:numPr>
        <w:overflowPunct w:val="0"/>
        <w:autoSpaceDE w:val="0"/>
        <w:autoSpaceDN w:val="0"/>
        <w:adjustRightInd w:val="0"/>
        <w:spacing w:after="0" w:line="240" w:lineRule="auto"/>
        <w:rPr>
          <w:b/>
          <w:bCs/>
          <w:sz w:val="24"/>
          <w:szCs w:val="24"/>
          <w:highlight w:val="none"/>
        </w:rPr>
      </w:pPr>
      <w:r>
        <w:rPr>
          <w:b/>
          <w:bCs/>
          <w:sz w:val="24"/>
          <w:szCs w:val="24"/>
          <w:highlight w:val="none"/>
        </w:rPr>
        <w:t>Alvará de Licença para Funcionamento, expedido pelo órgão competente do município da licitante, observando sua validade;</w:t>
      </w:r>
    </w:p>
    <w:p>
      <w:pPr>
        <w:overflowPunct w:val="0"/>
        <w:autoSpaceDE w:val="0"/>
        <w:autoSpaceDN w:val="0"/>
        <w:adjustRightInd w:val="0"/>
        <w:spacing w:after="0" w:line="240" w:lineRule="auto"/>
        <w:rPr>
          <w:rFonts w:eastAsia="Times New Roman"/>
          <w:b/>
          <w:bCs/>
          <w:sz w:val="24"/>
          <w:szCs w:val="24"/>
          <w:highlight w:val="none"/>
        </w:rPr>
      </w:pPr>
    </w:p>
    <w:p>
      <w:pPr>
        <w:overflowPunct w:val="0"/>
        <w:autoSpaceDE w:val="0"/>
        <w:autoSpaceDN w:val="0"/>
        <w:adjustRightInd w:val="0"/>
        <w:spacing w:after="0" w:line="240" w:lineRule="auto"/>
        <w:ind w:firstLine="315" w:firstLineChars="150"/>
        <w:jc w:val="both"/>
        <w:textAlignment w:val="baseline"/>
        <w:rPr>
          <w:rFonts w:hint="default" w:eastAsia="Times New Roman"/>
          <w:b/>
          <w:bCs/>
          <w:sz w:val="21"/>
          <w:szCs w:val="21"/>
          <w:lang w:val="pt-BR"/>
        </w:rPr>
      </w:pPr>
      <w:r>
        <w:rPr>
          <w:rFonts w:eastAsia="Times New Roman"/>
          <w:b/>
          <w:bCs/>
          <w:sz w:val="21"/>
          <w:szCs w:val="21"/>
        </w:rPr>
        <w:t xml:space="preserve">b) Registro no Instituto Nacional de Metrologia, Normalização e Qualidade Industrial – </w:t>
      </w:r>
      <w:r>
        <w:rPr>
          <w:rFonts w:hint="default"/>
          <w:b/>
          <w:bCs/>
          <w:sz w:val="21"/>
          <w:szCs w:val="21"/>
          <w:lang w:val="pt-BR"/>
        </w:rPr>
        <w:tab/>
      </w:r>
      <w:r>
        <w:rPr>
          <w:rFonts w:eastAsia="Times New Roman"/>
          <w:b/>
          <w:bCs/>
          <w:sz w:val="21"/>
          <w:szCs w:val="21"/>
        </w:rPr>
        <w:t xml:space="preserve">INMETRO – atestando que a licitante está apta a prestar a atividade objeto deste certame, </w:t>
      </w:r>
      <w:r>
        <w:rPr>
          <w:rFonts w:hint="default"/>
          <w:b/>
          <w:bCs/>
          <w:sz w:val="21"/>
          <w:szCs w:val="21"/>
          <w:lang w:val="pt-BR"/>
        </w:rPr>
        <w:tab/>
      </w:r>
      <w:r>
        <w:rPr>
          <w:rFonts w:eastAsia="Times New Roman"/>
          <w:b/>
          <w:bCs/>
          <w:sz w:val="21"/>
          <w:szCs w:val="21"/>
        </w:rPr>
        <w:t>válido na data de abertura da sessão</w:t>
      </w:r>
      <w:r>
        <w:rPr>
          <w:rFonts w:hint="default"/>
          <w:b/>
          <w:bCs/>
          <w:sz w:val="21"/>
          <w:szCs w:val="21"/>
          <w:lang w:val="pt-BR"/>
        </w:rPr>
        <w:t>.</w:t>
      </w:r>
    </w:p>
    <w:p>
      <w:pPr>
        <w:numPr>
          <w:ilvl w:val="0"/>
          <w:numId w:val="0"/>
        </w:numPr>
        <w:ind w:left="360" w:leftChars="0" w:right="-241" w:rightChars="0"/>
        <w:jc w:val="both"/>
        <w:rPr>
          <w:b/>
          <w:bCs/>
          <w:sz w:val="24"/>
          <w:szCs w:val="24"/>
          <w:highlight w:val="none"/>
        </w:rPr>
      </w:pPr>
    </w:p>
    <w:p>
      <w:pPr>
        <w:numPr>
          <w:ilvl w:val="0"/>
          <w:numId w:val="0"/>
        </w:numPr>
        <w:ind w:left="360" w:leftChars="0" w:right="-241" w:rightChars="0"/>
        <w:jc w:val="both"/>
        <w:rPr>
          <w:sz w:val="24"/>
          <w:szCs w:val="24"/>
          <w:highlight w:val="none"/>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rPr>
          <w:sz w:val="24"/>
          <w:szCs w:val="24"/>
          <w:lang w:eastAsia="pt-BR"/>
        </w:rPr>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 xml:space="preserve">Para efeito deste registro considera-se Ordem de Compras, aquela solicitação em que o quantitativo deverá ser entregue em sua totalidade em </w:t>
      </w:r>
      <w:r>
        <w:rPr>
          <w:sz w:val="24"/>
          <w:szCs w:val="24"/>
          <w:highlight w:val="yellow"/>
        </w:rPr>
        <w:t>até 15 (quinze) dias úteis</w:t>
      </w:r>
      <w:r>
        <w:rPr>
          <w:sz w:val="24"/>
          <w:szCs w:val="24"/>
        </w:rPr>
        <w:t>.</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pPr>
      <w:r>
        <w:rPr>
          <w:b/>
          <w:bCs/>
          <w:sz w:val="24"/>
          <w:szCs w:val="24"/>
        </w:rPr>
        <w:t>14.1</w:t>
      </w:r>
      <w:r>
        <w:rPr>
          <w:sz w:val="24"/>
          <w:szCs w:val="24"/>
        </w:rPr>
        <w:t xml:space="preserve"> – Os itens licitados serão solicitados conforme a necessidade da Gerência, e deverão ser entregues no </w:t>
      </w:r>
      <w:r>
        <w:rPr>
          <w:sz w:val="24"/>
          <w:szCs w:val="24"/>
          <w:highlight w:val="yellow"/>
        </w:rPr>
        <w:t>Almoxarifado Central/Local indicado na Ordem de compra/serviço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sz w:val="24"/>
          <w:szCs w:val="24"/>
        </w:rPr>
        <w:t xml:space="preserve">14.1.1 -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pPr>
      <w:r>
        <w:rPr>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wordWrap w:val="0"/>
        <w:jc w:val="right"/>
        <w:rPr>
          <w:rFonts w:hint="default"/>
          <w:lang w:val="pt-BR"/>
        </w:rPr>
      </w:pPr>
      <w:r>
        <w:rPr>
          <w:sz w:val="24"/>
          <w:szCs w:val="24"/>
        </w:rPr>
        <w:t xml:space="preserve">Naviraí - MS, </w:t>
      </w:r>
      <w:r>
        <w:rPr>
          <w:b/>
          <w:sz w:val="24"/>
          <w:szCs w:val="24"/>
        </w:rPr>
        <w:t>1</w:t>
      </w:r>
      <w:r>
        <w:rPr>
          <w:rFonts w:hint="default"/>
          <w:b/>
          <w:sz w:val="24"/>
          <w:szCs w:val="24"/>
          <w:lang w:val="pt-BR"/>
        </w:rPr>
        <w:t>7 de novembro de 2021.</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b/>
          <w:bCs/>
          <w:color w:val="000000"/>
          <w:sz w:val="24"/>
          <w:szCs w:val="24"/>
        </w:rPr>
        <w:t>Josemar Tomazelli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 Decreto 024/2021</w:t>
      </w:r>
    </w:p>
    <w:p>
      <w:pPr>
        <w:pStyle w:val="7"/>
        <w:ind w:left="0" w:right="0" w:hanging="851"/>
        <w:jc w:val="center"/>
        <w:rPr>
          <w:rFonts w:ascii="Times New Roman" w:hAnsi="Times New Roman" w:cs="Times New Roman"/>
          <w:b/>
          <w:bCs/>
          <w:i w:val="0"/>
          <w:color w:val="000000"/>
          <w:sz w:val="24"/>
          <w:szCs w:val="24"/>
        </w:rPr>
      </w:pP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p>
    <w:p>
      <w:pPr>
        <w:rPr>
          <w:sz w:val="24"/>
          <w:szCs w:val="24"/>
          <w:lang w:eastAsia="pt-BR"/>
        </w:rPr>
      </w:pPr>
    </w:p>
    <w:p>
      <w:pPr>
        <w:jc w:val="both"/>
      </w:pPr>
      <w:r>
        <w:rPr>
          <w:b/>
          <w:bCs/>
          <w:sz w:val="24"/>
          <w:szCs w:val="24"/>
        </w:rPr>
        <w:t>1 OBJETO: REGISTRO DE PREÇOS OBJETIVANDO A CONTRATAÇÃO FUTURA DE EMPRESA ESPECIALIZADA EM RECARGA DE EXTITORES DE INCENDIO PREDIAL E VEICULARES CONFORME TERMO DE REFERENCIA, PARA ATENDER SOLICITAÇÃO DA GERENCIA DE ADMINISTRAÇÃO DO MUNICÍPIO DE NAVIRAÍ-MS. PEDIDO DE SERVIÇO Nº 393/2021.</w:t>
      </w:r>
    </w:p>
    <w:p>
      <w:pPr>
        <w:jc w:val="both"/>
        <w:rPr>
          <w:b/>
          <w:bCs/>
          <w:sz w:val="24"/>
          <w:szCs w:val="24"/>
        </w:rPr>
      </w:pPr>
    </w:p>
    <w:p>
      <w:pPr>
        <w:rPr>
          <w:b/>
          <w:bCs/>
          <w:sz w:val="24"/>
          <w:szCs w:val="24"/>
        </w:rPr>
      </w:pPr>
    </w:p>
    <w:tbl>
      <w:tblPr>
        <w:tblStyle w:val="12"/>
        <w:tblW w:w="9195" w:type="dxa"/>
        <w:tblInd w:w="-7" w:type="dxa"/>
        <w:tblLayout w:type="fixed"/>
        <w:tblCellMar>
          <w:top w:w="0" w:type="dxa"/>
          <w:left w:w="108" w:type="dxa"/>
          <w:bottom w:w="0" w:type="dxa"/>
          <w:right w:w="108" w:type="dxa"/>
        </w:tblCellMar>
      </w:tblPr>
      <w:tblGrid>
        <w:gridCol w:w="1229"/>
        <w:gridCol w:w="1229"/>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widowControl w:val="0"/>
              <w:spacing w:line="276" w:lineRule="auto"/>
              <w:jc w:val="center"/>
              <w:rPr>
                <w:rFonts w:eastAsia="Arial Unicode MS"/>
              </w:rPr>
            </w:pPr>
            <w:r>
              <w:rPr>
                <w:rFonts w:eastAsia="Arial Unicode MS"/>
              </w:rPr>
              <w:t>ITEM</w:t>
            </w:r>
          </w:p>
        </w:tc>
        <w:tc>
          <w:tcPr>
            <w:tcW w:w="1229" w:type="dxa"/>
            <w:tcBorders>
              <w:top w:val="single" w:color="000000" w:sz="6" w:space="0"/>
              <w:left w:val="single" w:color="000000" w:sz="6" w:space="0"/>
            </w:tcBorders>
            <w:vAlign w:val="center"/>
          </w:tcPr>
          <w:p>
            <w:pPr>
              <w:widowControl w:val="0"/>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widowControl w:val="0"/>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widowControl w:val="0"/>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rPr>
            </w:pPr>
            <w:r>
              <w:rPr>
                <w:rFonts w:eastAsia="Arial Unicode MS"/>
              </w:rPr>
              <w:t>1</w:t>
            </w:r>
          </w:p>
        </w:tc>
        <w:tc>
          <w:tcPr>
            <w:tcW w:w="1229"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172</w:t>
            </w:r>
          </w:p>
        </w:tc>
        <w:tc>
          <w:tcPr>
            <w:tcW w:w="1027"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5709" w:type="dxa"/>
            <w:tcBorders>
              <w:top w:val="single" w:color="000000" w:sz="4" w:space="0"/>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RECARGA DE EXTINTOR AP - 10 LITROS DE ÁGUA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2</w:t>
            </w:r>
          </w:p>
        </w:tc>
        <w:tc>
          <w:tcPr>
            <w:tcW w:w="1229"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RECARGA DE EXTINTOR PQS - 12 KG DE PÓ QUIMICO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3</w:t>
            </w:r>
          </w:p>
        </w:tc>
        <w:tc>
          <w:tcPr>
            <w:tcW w:w="1229"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41</w:t>
            </w:r>
          </w:p>
        </w:tc>
        <w:tc>
          <w:tcPr>
            <w:tcW w:w="102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RECARGA DE EXTINTOR PQS - 08 KG DE PÓ QUIMICO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4</w:t>
            </w:r>
          </w:p>
        </w:tc>
        <w:tc>
          <w:tcPr>
            <w:tcW w:w="1229"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107</w:t>
            </w:r>
          </w:p>
        </w:tc>
        <w:tc>
          <w:tcPr>
            <w:tcW w:w="102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RECARGA DE EXTINTOR PQS - 06 KG DE PÓ QUIMICO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5</w:t>
            </w:r>
          </w:p>
        </w:tc>
        <w:tc>
          <w:tcPr>
            <w:tcW w:w="1229"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145</w:t>
            </w:r>
          </w:p>
        </w:tc>
        <w:tc>
          <w:tcPr>
            <w:tcW w:w="102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RECARGA DE EXTINTOR PQS - 04 KG DE PÓ QUIMICO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6</w:t>
            </w:r>
          </w:p>
        </w:tc>
        <w:tc>
          <w:tcPr>
            <w:tcW w:w="1229"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56</w:t>
            </w:r>
          </w:p>
        </w:tc>
        <w:tc>
          <w:tcPr>
            <w:tcW w:w="102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RECARGA DE EXTINTOR CO2 - 06 KG DE DIÓXIDO DE CARBONO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7</w:t>
            </w:r>
          </w:p>
        </w:tc>
        <w:tc>
          <w:tcPr>
            <w:tcW w:w="1229"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186</w:t>
            </w:r>
          </w:p>
        </w:tc>
        <w:tc>
          <w:tcPr>
            <w:tcW w:w="102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RECARGA DE EXTINTOR VEICULAR PÓ QUIMICO CLASSE A,B,C - 04 KG.</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8</w:t>
            </w:r>
          </w:p>
        </w:tc>
        <w:tc>
          <w:tcPr>
            <w:tcW w:w="1229"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80</w:t>
            </w:r>
          </w:p>
        </w:tc>
        <w:tc>
          <w:tcPr>
            <w:tcW w:w="102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 xml:space="preserve">RECARGA DE EXTINTOR VEICULAR PÓ QUIMICO CLASSE A,B,C - 06 KG.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9</w:t>
            </w:r>
          </w:p>
        </w:tc>
        <w:tc>
          <w:tcPr>
            <w:tcW w:w="1229"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w:t>
            </w:r>
          </w:p>
        </w:tc>
        <w:tc>
          <w:tcPr>
            <w:tcW w:w="102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RECARGA DE EXTINTOR SOBRE-RODAS COM 75 LITROS  DE ÁGUA PRESSURIZADA</w:t>
            </w:r>
          </w:p>
        </w:tc>
      </w:tr>
    </w:tbl>
    <w:p>
      <w:pPr>
        <w:pStyle w:val="7"/>
        <w:rPr>
          <w:rFonts w:ascii="Times New Roman" w:hAnsi="Times New Roman" w:cs="Times New Roman"/>
          <w:b/>
          <w:bCs/>
          <w:i w:val="0"/>
          <w:szCs w:val="24"/>
        </w:rPr>
      </w:pPr>
    </w:p>
    <w:p>
      <w:pPr>
        <w:rPr>
          <w:b/>
          <w:bCs/>
          <w:sz w:val="24"/>
          <w:szCs w:val="24"/>
        </w:rPr>
      </w:pPr>
      <w:r>
        <w:drawing>
          <wp:inline distT="0" distB="0" distL="114300" distR="114300">
            <wp:extent cx="6040120" cy="2969260"/>
            <wp:effectExtent l="0" t="0" r="17780" b="254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7"/>
                    <a:stretch>
                      <a:fillRect/>
                    </a:stretch>
                  </pic:blipFill>
                  <pic:spPr>
                    <a:xfrm>
                      <a:off x="0" y="0"/>
                      <a:ext cx="6040120" cy="2969260"/>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r>
        <w:drawing>
          <wp:inline distT="0" distB="0" distL="114300" distR="114300">
            <wp:extent cx="5923280" cy="8754110"/>
            <wp:effectExtent l="0" t="0" r="1270" b="889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8"/>
                    <a:stretch>
                      <a:fillRect/>
                    </a:stretch>
                  </pic:blipFill>
                  <pic:spPr>
                    <a:xfrm>
                      <a:off x="0" y="0"/>
                      <a:ext cx="5923280" cy="8754110"/>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r>
        <w:drawing>
          <wp:inline distT="0" distB="0" distL="114300" distR="114300">
            <wp:extent cx="5306060" cy="7808595"/>
            <wp:effectExtent l="0" t="0" r="8890" b="1905"/>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9"/>
                    <a:stretch>
                      <a:fillRect/>
                    </a:stretch>
                  </pic:blipFill>
                  <pic:spPr>
                    <a:xfrm>
                      <a:off x="0" y="0"/>
                      <a:ext cx="5306060" cy="7808595"/>
                    </a:xfrm>
                    <a:prstGeom prst="rect">
                      <a:avLst/>
                    </a:prstGeom>
                    <a:noFill/>
                    <a:ln>
                      <a:noFill/>
                    </a:ln>
                  </pic:spPr>
                </pic:pic>
              </a:graphicData>
            </a:graphic>
          </wp:inline>
        </w:drawing>
      </w:r>
    </w:p>
    <w:p>
      <w:r>
        <w:rPr>
          <w:b/>
          <w:bCs/>
          <w:sz w:val="24"/>
          <w:szCs w:val="24"/>
        </w:rPr>
        <w:t xml:space="preserve">2 VALIDADE DA ATA DE REGISTRO DE PREÇOS: </w:t>
      </w:r>
      <w:r>
        <w:rPr>
          <w:bCs/>
          <w:sz w:val="24"/>
          <w:szCs w:val="24"/>
        </w:rPr>
        <w:t>12 (doze) meses.</w:t>
      </w:r>
    </w:p>
    <w:p>
      <w:r>
        <w:rPr>
          <w:b/>
          <w:bCs/>
          <w:sz w:val="24"/>
          <w:szCs w:val="24"/>
        </w:rPr>
        <w:t xml:space="preserve">3 PRAZO PARA A ENTREGA DOS MATERIAIS: </w:t>
      </w:r>
      <w:r>
        <w:rPr>
          <w:bCs/>
          <w:sz w:val="24"/>
          <w:szCs w:val="24"/>
        </w:rPr>
        <w:t>15 (quinze) dias úteis</w:t>
      </w:r>
    </w:p>
    <w:p>
      <w:r>
        <w:rPr>
          <w:b/>
          <w:bCs/>
          <w:sz w:val="24"/>
          <w:szCs w:val="24"/>
        </w:rPr>
        <w:t xml:space="preserve">4 PRAZO PARA SUBSTITUIÇÃO: </w:t>
      </w:r>
      <w:r>
        <w:rPr>
          <w:bCs/>
          <w:sz w:val="24"/>
          <w:szCs w:val="24"/>
        </w:rPr>
        <w:t>15 (quinze) dias úteis</w:t>
      </w:r>
    </w:p>
    <w:p>
      <w:r>
        <w:rPr>
          <w:b/>
          <w:bCs/>
          <w:sz w:val="24"/>
          <w:szCs w:val="24"/>
        </w:rPr>
        <w:t xml:space="preserve">5 LOCAL DE ENTREGA: </w:t>
      </w:r>
      <w:r>
        <w:rPr>
          <w:bCs/>
          <w:sz w:val="24"/>
          <w:szCs w:val="24"/>
        </w:rPr>
        <w:t>Almoxarifado Central/Indicado na Ordem de Fornecimento</w:t>
      </w:r>
    </w:p>
    <w:p>
      <w:pPr>
        <w:jc w:val="both"/>
      </w:pPr>
      <w:r>
        <w:rPr>
          <w:b/>
          <w:bCs/>
          <w:sz w:val="24"/>
          <w:szCs w:val="24"/>
        </w:rPr>
        <w:t xml:space="preserve">6 QUANTIDADE MINIMA A SER SOLICITADA POR COMPRA: </w:t>
      </w:r>
      <w:r>
        <w:rPr>
          <w:bCs/>
          <w:sz w:val="24"/>
          <w:szCs w:val="24"/>
        </w:rPr>
        <w:t>01 (UMA) UNIDADE</w:t>
      </w:r>
    </w:p>
    <w:p>
      <w:pPr>
        <w:pStyle w:val="7"/>
        <w:jc w:val="center"/>
        <w:rPr>
          <w:rFonts w:ascii="Times New Roman" w:hAnsi="Times New Roman" w:cs="Times New Roman"/>
          <w:b/>
          <w:bCs/>
          <w:i w:val="0"/>
          <w:szCs w:val="24"/>
        </w:rPr>
      </w:pPr>
    </w:p>
    <w:p>
      <w:pPr>
        <w:pStyle w:val="7"/>
        <w:jc w:val="center"/>
        <w:rPr>
          <w:rFonts w:ascii="Times New Roman" w:hAnsi="Times New Roman" w:cs="Times New Roman"/>
          <w:b/>
          <w:bCs/>
          <w:i w:val="0"/>
          <w:szCs w:val="24"/>
        </w:rPr>
        <w:sectPr>
          <w:headerReference r:id="rId4" w:type="default"/>
          <w:footerReference r:id="rId5" w:type="default"/>
          <w:pgSz w:w="11906" w:h="16838"/>
          <w:pgMar w:top="1537" w:right="909"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p>
      <w:pPr>
        <w:rPr>
          <w:rFonts w:eastAsia="Arial Unicode MS"/>
          <w:sz w:val="24"/>
          <w:szCs w:val="24"/>
        </w:rPr>
      </w:pPr>
    </w:p>
    <w:tbl>
      <w:tblPr>
        <w:tblStyle w:val="12"/>
        <w:tblW w:w="14900" w:type="dxa"/>
        <w:tblInd w:w="-80" w:type="dxa"/>
        <w:tblLayout w:type="fixed"/>
        <w:tblCellMar>
          <w:top w:w="0" w:type="dxa"/>
          <w:left w:w="107" w:type="dxa"/>
          <w:bottom w:w="0" w:type="dxa"/>
          <w:right w:w="107" w:type="dxa"/>
        </w:tblCellMar>
      </w:tblPr>
      <w:tblGrid>
        <w:gridCol w:w="4112"/>
        <w:gridCol w:w="2551"/>
        <w:gridCol w:w="709"/>
        <w:gridCol w:w="3402"/>
        <w:gridCol w:w="177"/>
        <w:gridCol w:w="3948"/>
      </w:tblGrid>
      <w:tr>
        <w:tblPrEx>
          <w:tblCellMar>
            <w:top w:w="0" w:type="dxa"/>
            <w:left w:w="107" w:type="dxa"/>
            <w:bottom w:w="0" w:type="dxa"/>
            <w:right w:w="107" w:type="dxa"/>
          </w:tblCellMar>
        </w:tblPrEx>
        <w:trPr>
          <w:cantSplit/>
          <w:trHeight w:val="150" w:hRule="atLeast"/>
        </w:trPr>
        <w:tc>
          <w:tcPr>
            <w:tcW w:w="4112" w:type="dxa"/>
            <w:vMerge w:val="restart"/>
            <w:tcBorders>
              <w:top w:val="single" w:color="000000" w:sz="6" w:space="0"/>
              <w:left w:val="single" w:color="000000" w:sz="6" w:space="0"/>
              <w:bottom w:val="single" w:color="000000" w:sz="6" w:space="0"/>
            </w:tcBorders>
            <w:vAlign w:val="center"/>
          </w:tcPr>
          <w:p>
            <w:pPr>
              <w:pStyle w:val="5"/>
              <w:widowControl w:val="0"/>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TIPO DE LICITAÇÃO</w:t>
            </w:r>
          </w:p>
        </w:tc>
        <w:tc>
          <w:tcPr>
            <w:tcW w:w="4111" w:type="dxa"/>
            <w:gridSpan w:val="2"/>
            <w:tcBorders>
              <w:top w:val="single" w:color="000000" w:sz="6" w:space="0"/>
              <w:left w:val="single" w:color="000000" w:sz="6" w:space="0"/>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NÚMERO</w:t>
            </w:r>
          </w:p>
        </w:tc>
        <w:tc>
          <w:tcPr>
            <w:tcW w:w="4125" w:type="dxa"/>
            <w:gridSpan w:val="2"/>
            <w:tcBorders>
              <w:top w:val="single" w:color="000000" w:sz="6" w:space="0"/>
              <w:left w:val="single" w:color="000000" w:sz="6" w:space="0"/>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2" w:type="dxa"/>
            <w:vMerge w:val="continue"/>
            <w:tcBorders>
              <w:top w:val="single" w:color="000000" w:sz="6" w:space="0"/>
              <w:left w:val="single" w:color="000000" w:sz="6" w:space="0"/>
              <w:bottom w:val="single" w:color="000000" w:sz="6" w:space="0"/>
            </w:tcBorders>
            <w:vAlign w:val="center"/>
          </w:tcPr>
          <w:p>
            <w:pPr>
              <w:widowControl w:val="0"/>
            </w:pPr>
          </w:p>
        </w:tc>
        <w:tc>
          <w:tcPr>
            <w:tcW w:w="2551" w:type="dxa"/>
            <w:tcBorders>
              <w:top w:val="single" w:color="000000" w:sz="6" w:space="0"/>
              <w:left w:val="single" w:color="000000" w:sz="6" w:space="0"/>
              <w:bottom w:val="single" w:color="000000" w:sz="6" w:space="0"/>
            </w:tcBorders>
          </w:tcPr>
          <w:p>
            <w:pPr>
              <w:widowControl w:val="0"/>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1" w:type="dxa"/>
            <w:gridSpan w:val="2"/>
            <w:tcBorders>
              <w:top w:val="single" w:color="000000" w:sz="6" w:space="0"/>
              <w:left w:val="single" w:color="000000" w:sz="6" w:space="0"/>
              <w:bottom w:val="single" w:color="000000" w:sz="6" w:space="0"/>
            </w:tcBorders>
          </w:tcPr>
          <w:p>
            <w:pPr>
              <w:widowControl w:val="0"/>
              <w:spacing w:line="276" w:lineRule="auto"/>
              <w:jc w:val="both"/>
            </w:pPr>
            <w:r>
              <w:rPr>
                <w:rFonts w:eastAsia="Arial Unicode MS"/>
                <w:b/>
                <w:color w:val="FF0000"/>
                <w:sz w:val="22"/>
                <w:szCs w:val="22"/>
              </w:rPr>
              <w:t>161/2021</w:t>
            </w:r>
            <w:r>
              <w:rPr>
                <w:rFonts w:eastAsia="Arial Unicode MS"/>
                <w:b/>
                <w:color w:val="FF0000"/>
                <w:sz w:val="22"/>
                <w:szCs w:val="22"/>
                <w:highlight w:val="yellow"/>
              </w:rPr>
              <w:t xml:space="preserve"> </w:t>
            </w:r>
          </w:p>
        </w:tc>
        <w:tc>
          <w:tcPr>
            <w:tcW w:w="4125" w:type="dxa"/>
            <w:gridSpan w:val="2"/>
            <w:tcBorders>
              <w:top w:val="single" w:color="000000" w:sz="6" w:space="0"/>
              <w:left w:val="single" w:color="000000" w:sz="6" w:space="0"/>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2" w:type="dxa"/>
            <w:gridSpan w:val="3"/>
            <w:tcBorders>
              <w:left w:val="single" w:color="000000" w:sz="6" w:space="0"/>
            </w:tcBorders>
            <w:tcMar>
              <w:left w:w="108" w:type="dxa"/>
              <w:right w:w="108" w:type="dxa"/>
            </w:tcMar>
          </w:tcPr>
          <w:p>
            <w:pPr>
              <w:widowControl w:val="0"/>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widowControl w:val="0"/>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2" w:type="dxa"/>
            <w:gridSpan w:val="3"/>
            <w:tcBorders>
              <w:left w:val="single" w:color="000000" w:sz="6" w:space="0"/>
              <w:bottom w:val="single" w:color="000000" w:sz="6" w:space="0"/>
            </w:tcBorders>
            <w:tcMar>
              <w:left w:w="108" w:type="dxa"/>
              <w:right w:w="108" w:type="dxa"/>
            </w:tcMar>
          </w:tcPr>
          <w:p>
            <w:pPr>
              <w:widowControl w:val="0"/>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5"/>
        <w:ind w:left="142" w:right="0" w:firstLine="0"/>
        <w:rPr>
          <w:bCs/>
          <w:sz w:val="24"/>
          <w:szCs w:val="24"/>
        </w:rPr>
      </w:pPr>
    </w:p>
    <w:tbl>
      <w:tblPr>
        <w:tblStyle w:val="12"/>
        <w:tblW w:w="14843" w:type="dxa"/>
        <w:tblInd w:w="-41" w:type="dxa"/>
        <w:tblLayout w:type="fixed"/>
        <w:tblCellMar>
          <w:top w:w="0" w:type="dxa"/>
          <w:left w:w="108" w:type="dxa"/>
          <w:bottom w:w="0" w:type="dxa"/>
          <w:right w:w="108" w:type="dxa"/>
        </w:tblCellMar>
      </w:tblPr>
      <w:tblGrid>
        <w:gridCol w:w="834"/>
        <w:gridCol w:w="834"/>
        <w:gridCol w:w="697"/>
        <w:gridCol w:w="7700"/>
        <w:gridCol w:w="1662"/>
        <w:gridCol w:w="1400"/>
        <w:gridCol w:w="1715"/>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widowControl w:val="0"/>
              <w:spacing w:line="276" w:lineRule="auto"/>
              <w:jc w:val="center"/>
            </w:pPr>
            <w:r>
              <w:rPr>
                <w:rFonts w:eastAsia="Times New Roman"/>
                <w:b/>
                <w:i/>
              </w:rPr>
              <w:t xml:space="preserve"> </w:t>
            </w:r>
            <w:r>
              <w:rPr>
                <w:rFonts w:eastAsia="Arial Unicode MS"/>
              </w:rPr>
              <w:t>ITEM</w:t>
            </w:r>
          </w:p>
        </w:tc>
        <w:tc>
          <w:tcPr>
            <w:tcW w:w="834" w:type="dxa"/>
            <w:tcBorders>
              <w:top w:val="single" w:color="000000" w:sz="6" w:space="0"/>
              <w:left w:val="single" w:color="000000" w:sz="6" w:space="0"/>
            </w:tcBorders>
          </w:tcPr>
          <w:p>
            <w:pPr>
              <w:widowControl w:val="0"/>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widowControl w:val="0"/>
              <w:spacing w:line="276" w:lineRule="auto"/>
              <w:jc w:val="center"/>
              <w:rPr>
                <w:rFonts w:eastAsia="Arial Unicode MS"/>
              </w:rPr>
            </w:pPr>
            <w:r>
              <w:rPr>
                <w:rFonts w:eastAsia="Arial Unicode MS"/>
              </w:rPr>
              <w:t>UN</w:t>
            </w:r>
          </w:p>
        </w:tc>
        <w:tc>
          <w:tcPr>
            <w:tcW w:w="7700" w:type="dxa"/>
            <w:tcBorders>
              <w:top w:val="single" w:color="000000" w:sz="6" w:space="0"/>
              <w:left w:val="single" w:color="000000" w:sz="6" w:space="0"/>
            </w:tcBorders>
          </w:tcPr>
          <w:p>
            <w:pPr>
              <w:widowControl w:val="0"/>
              <w:spacing w:line="276" w:lineRule="auto"/>
              <w:jc w:val="center"/>
            </w:pPr>
            <w:r>
              <w:rPr>
                <w:rFonts w:eastAsia="Times New Roman"/>
              </w:rPr>
              <w:t xml:space="preserve">   </w:t>
            </w:r>
            <w:r>
              <w:rPr>
                <w:rFonts w:eastAsia="Arial Unicode MS"/>
              </w:rPr>
              <w:t>ESPECIFICAÇÃO</w:t>
            </w:r>
          </w:p>
        </w:tc>
        <w:tc>
          <w:tcPr>
            <w:tcW w:w="1662" w:type="dxa"/>
            <w:tcBorders>
              <w:top w:val="single" w:color="000000" w:sz="6" w:space="0"/>
              <w:left w:val="single" w:color="000000" w:sz="6" w:space="0"/>
            </w:tcBorders>
          </w:tcPr>
          <w:p>
            <w:pPr>
              <w:widowControl w:val="0"/>
              <w:spacing w:line="276" w:lineRule="auto"/>
              <w:jc w:val="center"/>
              <w:rPr>
                <w:rFonts w:eastAsia="Arial Unicode MS"/>
              </w:rPr>
            </w:pPr>
            <w:r>
              <w:rPr>
                <w:rFonts w:eastAsia="Arial Unicode MS"/>
              </w:rPr>
              <w:t>MARCA</w:t>
            </w:r>
          </w:p>
        </w:tc>
        <w:tc>
          <w:tcPr>
            <w:tcW w:w="1400" w:type="dxa"/>
            <w:tcBorders>
              <w:top w:val="single" w:color="000000" w:sz="6" w:space="0"/>
              <w:left w:val="single" w:color="000000" w:sz="6" w:space="0"/>
            </w:tcBorders>
          </w:tcPr>
          <w:p>
            <w:pPr>
              <w:widowControl w:val="0"/>
              <w:spacing w:line="276" w:lineRule="auto"/>
              <w:jc w:val="center"/>
              <w:rPr>
                <w:rFonts w:eastAsia="Arial Unicode MS"/>
              </w:rPr>
            </w:pPr>
            <w:r>
              <w:rPr>
                <w:rFonts w:eastAsia="Arial Unicode MS"/>
              </w:rPr>
              <w:t>P. UNIT.</w:t>
            </w:r>
          </w:p>
        </w:tc>
        <w:tc>
          <w:tcPr>
            <w:tcW w:w="1715" w:type="dxa"/>
            <w:tcBorders>
              <w:top w:val="single" w:color="000000" w:sz="6" w:space="0"/>
              <w:left w:val="single" w:color="000000" w:sz="6" w:space="0"/>
              <w:right w:val="single" w:color="000000" w:sz="6" w:space="0"/>
            </w:tcBorders>
          </w:tcPr>
          <w:p>
            <w:pPr>
              <w:widowControl w:val="0"/>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rPr>
            </w:pPr>
            <w:r>
              <w:rPr>
                <w:rFonts w:eastAsia="Arial Unicode MS"/>
              </w:rPr>
              <w:t>1</w:t>
            </w:r>
          </w:p>
        </w:tc>
        <w:tc>
          <w:tcPr>
            <w:tcW w:w="834"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172,0</w:t>
            </w:r>
          </w:p>
        </w:tc>
        <w:tc>
          <w:tcPr>
            <w:tcW w:w="697"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7700" w:type="dxa"/>
            <w:tcBorders>
              <w:top w:val="single" w:color="000000" w:sz="4" w:space="0"/>
              <w:left w:val="single" w:color="000000" w:sz="6" w:space="0"/>
              <w:bottom w:val="single" w:color="000000" w:sz="4" w:space="0"/>
            </w:tcBorders>
          </w:tcPr>
          <w:p>
            <w:pPr>
              <w:widowControl w:val="0"/>
              <w:spacing w:line="276" w:lineRule="auto"/>
              <w:jc w:val="both"/>
              <w:rPr>
                <w:rFonts w:eastAsia="Arial Unicode MS"/>
              </w:rPr>
            </w:pPr>
            <w:r>
              <w:rPr>
                <w:rFonts w:eastAsia="Arial Unicode MS"/>
              </w:rPr>
              <w:t>RECARGA DE EXTINTOR AP - 10 LITROS DE ÁGUA</w:t>
            </w:r>
          </w:p>
        </w:tc>
        <w:tc>
          <w:tcPr>
            <w:tcW w:w="1662" w:type="dxa"/>
            <w:tcBorders>
              <w:top w:val="single" w:color="000000" w:sz="4" w:space="0"/>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top w:val="single" w:color="000000" w:sz="4" w:space="0"/>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top w:val="single" w:color="000000" w:sz="4" w:space="0"/>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2</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15,0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RECARGA DE EXTINTOR PQS - 12 KG DE PÓ QUIMICO</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3</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41,0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RECARGA DE EXTINTOR PQS - 08 KG DE PÓ QUIMICO</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4</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107,0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RECARGA DE EXTINTOR PQS - 06 KG DE PÓ QUIMICO</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5</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145,0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RECARGA DE EXTINTOR PQS - 04 KG DE PÓ QUIMICO</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6</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56,0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RECARGA DE EXTINTOR CO2 - 06 KG DE DIÓXIDO DE CARBONO</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7</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186,0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RECARGA DE EXTINTOR VEICULAR PÓ QUIMICO CLASSE A,B,C - 04 KG.</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8</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80,0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 xml:space="preserve">RECARGA DE EXTINTOR VEICULAR PÓ QUIMICO CLASSE A,B,C - 06 KG. </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9</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RECARGA DE EXTINTOR SOBRE-RODAS COM 75 LITROS  DE ÁGUA PRESSURIZADA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fixed"/>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widowControl w:val="0"/>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Declaro que examinei, conheço e me submeto a todas as condições contidas no Edital da presente Licitação modalidade Pregão Presenciais nº. 161</w:t>
      </w:r>
      <w:r>
        <w:rPr>
          <w:rFonts w:eastAsia="Arial Unicode MS"/>
          <w:b/>
          <w:sz w:val="24"/>
          <w:szCs w:val="24"/>
        </w:rPr>
        <w:t>/2021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2021.</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07"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283/2021 </w:t>
      </w:r>
    </w:p>
    <w:p>
      <w:pPr>
        <w:jc w:val="center"/>
      </w:pPr>
      <w:r>
        <w:rPr>
          <w:b/>
          <w:bCs/>
          <w:sz w:val="24"/>
          <w:szCs w:val="24"/>
          <w:lang w:eastAsia="pt-BR"/>
        </w:rPr>
        <w:t>PREGÃO PRESENCIAL Nº 161/ 2021</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com sede a Praça Prefeito Euclides Antônio Fabris n.º 343, inscrita no CGC/MF sob o n.º 03.155.934/0001-90</w:t>
      </w:r>
      <w:r>
        <w:rPr>
          <w:sz w:val="24"/>
          <w:szCs w:val="24"/>
          <w:lang w:eastAsia="pt-BR"/>
        </w:rPr>
        <w:t xml:space="preserve">, </w:t>
      </w:r>
      <w:r>
        <w:rPr>
          <w:iCs/>
          <w:sz w:val="24"/>
          <w:szCs w:val="24"/>
          <w:highlight w:val="yellow"/>
          <w:lang w:eastAsia="pt-BR"/>
        </w:rPr>
        <w:t>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w:t>
      </w:r>
      <w:r>
        <w:rPr>
          <w:iCs/>
          <w:sz w:val="24"/>
          <w:szCs w:val="24"/>
          <w:lang w:eastAsia="pt-BR"/>
        </w:rPr>
        <w:t xml:space="preserve">, </w:t>
      </w:r>
      <w:r>
        <w:rPr>
          <w:sz w:val="24"/>
          <w:szCs w:val="24"/>
          <w:lang w:eastAsia="pt-BR"/>
        </w:rPr>
        <w:t xml:space="preserve">neste ato representado por </w:t>
      </w:r>
      <w:r>
        <w:rPr>
          <w:b/>
          <w:sz w:val="24"/>
          <w:szCs w:val="24"/>
          <w:u w:val="single"/>
        </w:rPr>
        <w:t>Antonia Gisalda Moralles Balta</w:t>
      </w:r>
      <w:r>
        <w:rPr>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b/>
          <w:sz w:val="24"/>
          <w:szCs w:val="24"/>
          <w:u w:val="single"/>
        </w:rPr>
        <w:t>Priscilla de Oliveira da Silva</w:t>
      </w:r>
      <w:r>
        <w:rPr>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b/>
          <w:iCs/>
          <w:sz w:val="24"/>
          <w:szCs w:val="24"/>
          <w:u w:val="single"/>
        </w:rPr>
        <w:t>Josemar Tomazelli</w:t>
      </w:r>
      <w:r>
        <w:rPr>
          <w:iCs/>
          <w:sz w:val="24"/>
          <w:szCs w:val="24"/>
        </w:rPr>
        <w:t xml:space="preserve">, Gerente de Finanças e Ordenador de Despesas conforme Decreto nº. 025/2021, brasileiro, portador do CPF/MF nº. 465.733.721-15 e Cédula de Identidade RG nº. 590.539 SSP/MS, residente e domiciliado nesta cidade, a Rua Natureza, nº 148 – Bairro: Portinari; </w:t>
      </w:r>
      <w:r>
        <w:rPr>
          <w:b/>
          <w:sz w:val="24"/>
          <w:szCs w:val="24"/>
          <w:u w:val="single"/>
        </w:rPr>
        <w:t>Marcio Grei Alves Vidal de Figueiredo</w:t>
      </w:r>
      <w:r>
        <w:rPr>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eastAsia="Calibri"/>
          <w:iCs/>
          <w:sz w:val="24"/>
          <w:szCs w:val="24"/>
        </w:rPr>
        <w:t xml:space="preserve"> </w:t>
      </w:r>
      <w:r>
        <w:rPr>
          <w:b/>
          <w:iCs/>
          <w:sz w:val="24"/>
          <w:szCs w:val="24"/>
          <w:u w:val="single"/>
        </w:rPr>
        <w:t>Eugenio de Almeida Guedes</w:t>
      </w:r>
      <w:r>
        <w:rPr>
          <w:iCs/>
          <w:sz w:val="24"/>
          <w:szCs w:val="24"/>
        </w:rPr>
        <w:t xml:space="preserve">, Gerente de Desenvolvimento Econômico e Ordenador de Despesas conforme Decreto nº 005/2021, brasileiro, portador do CPF/MF nº 017.770.558-22 e Cédula de Identidade RG nº </w:t>
      </w:r>
      <w:r>
        <w:rPr>
          <w:color w:val="222222"/>
          <w:sz w:val="24"/>
          <w:szCs w:val="24"/>
          <w:highlight w:val="white"/>
        </w:rPr>
        <w:t>12.308.677</w:t>
      </w:r>
      <w:r>
        <w:rPr>
          <w:iCs/>
          <w:sz w:val="24"/>
          <w:szCs w:val="24"/>
        </w:rPr>
        <w:t xml:space="preserve"> SSP/SP, residente e domiciliado nesta cidade, a Rua Bandeirantes, 482 - Centro; </w:t>
      </w:r>
      <w:r>
        <w:rPr>
          <w:b/>
          <w:iCs/>
          <w:sz w:val="24"/>
          <w:szCs w:val="24"/>
          <w:u w:val="single"/>
        </w:rPr>
        <w:t>Luiz Alberto Ávila Silva Júnior</w:t>
      </w:r>
      <w:r>
        <w:rPr>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b/>
          <w:iCs/>
          <w:sz w:val="24"/>
          <w:szCs w:val="24"/>
          <w:u w:val="single"/>
        </w:rPr>
        <w:t>Ana Paula Rodrigues da Silva</w:t>
      </w:r>
      <w:r>
        <w:rPr>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b/>
          <w:sz w:val="24"/>
          <w:szCs w:val="24"/>
          <w:u w:val="single"/>
        </w:rPr>
        <w:t>Fabiano Costa,</w:t>
      </w:r>
      <w:r>
        <w:rPr>
          <w:sz w:val="24"/>
          <w:szCs w:val="24"/>
        </w:rPr>
        <w:t xml:space="preserve"> Gerente de Serviços Públicos e Ordenador de Despesas conforme Decreto nº. 109/2021, brasileiro, portador do CPF/MF nº 614.816.101-04 e Cédula de Identidade RG 53534597 SSP/PR, residente e domiciliado nesta cidade, à Avenida Dourados, 989 – Centro</w:t>
      </w:r>
      <w:r>
        <w:rPr>
          <w:iCs/>
          <w:sz w:val="24"/>
          <w:szCs w:val="24"/>
        </w:rPr>
        <w:t xml:space="preserve">; </w:t>
      </w:r>
      <w:r>
        <w:rPr>
          <w:b/>
          <w:sz w:val="24"/>
          <w:szCs w:val="24"/>
          <w:u w:val="single"/>
        </w:rPr>
        <w:t>Lucinéia Pulquério Garcia Franciscatti</w:t>
      </w:r>
      <w:r>
        <w:rPr>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b/>
          <w:sz w:val="24"/>
          <w:szCs w:val="24"/>
          <w:u w:val="single"/>
        </w:rPr>
        <w:t>Brendo Caique Barbosa dos</w:t>
      </w:r>
      <w:r>
        <w:rPr>
          <w:b/>
          <w:iCs/>
          <w:sz w:val="24"/>
          <w:szCs w:val="24"/>
          <w:u w:val="single"/>
        </w:rPr>
        <w:t xml:space="preserve"> </w:t>
      </w:r>
      <w:r>
        <w:rPr>
          <w:b/>
          <w:sz w:val="24"/>
          <w:szCs w:val="24"/>
          <w:u w:val="single"/>
        </w:rPr>
        <w:t>Santos</w:t>
      </w:r>
      <w:r>
        <w:rPr>
          <w:iCs/>
          <w:sz w:val="24"/>
          <w:szCs w:val="24"/>
        </w:rPr>
        <w:t xml:space="preserve">, Gerente de Esportes e Lazer e Ordenador de Despesas conforme Decreto nº. 004/2021, brasileiro, portador do CPF/MF nº 053.178.801-65 e Cédula de Identidade RG 2.091.964 SEJUSP/MS, residente e domiciliado nesta cidade, à Rua Alemanha, nº.184-A – Centro; </w:t>
      </w:r>
      <w:r>
        <w:rPr>
          <w:b/>
          <w:sz w:val="24"/>
          <w:szCs w:val="24"/>
          <w:u w:val="single"/>
        </w:rPr>
        <w:t>Jorge Luis de Lúcia</w:t>
      </w:r>
      <w:r>
        <w:rPr>
          <w:iCs/>
          <w:sz w:val="24"/>
          <w:szCs w:val="24"/>
        </w:rPr>
        <w:t>, Gerente de Obras e Ordenador de Despesas conforme Decreto nº. 011/2021, brasileiro, portador do CPF/MF nº. 079.589.258-67 e Cédula de Identidade RG nº. 9.057.438 SSP/SP, residente nesta cidade, à Avenida Amélia Fukuda,  nº 1216 – Jardim Oasis</w:t>
      </w:r>
      <w:r>
        <w:rPr>
          <w:sz w:val="24"/>
          <w:szCs w:val="24"/>
        </w:rPr>
        <w:t xml:space="preserve">. </w:t>
      </w:r>
      <w:r>
        <w:rPr>
          <w:iCs/>
          <w:sz w:val="24"/>
          <w:szCs w:val="24"/>
        </w:rPr>
        <w:t>C</w:t>
      </w:r>
      <w:r>
        <w:rPr>
          <w:sz w:val="24"/>
          <w:szCs w:val="24"/>
          <w:lang w:eastAsia="pt-BR"/>
        </w:rPr>
        <w:t>onsiderando o julgamento do PREGÃO PRESENCIAL PARA REGISTRO DE PREÇOS nº. 161</w:t>
      </w:r>
      <w:r>
        <w:rPr>
          <w:b/>
          <w:sz w:val="24"/>
          <w:szCs w:val="24"/>
          <w:lang w:eastAsia="pt-BR"/>
        </w:rPr>
        <w:t>/2021</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PREÇOS OBJETIVANDO A CONTRATAÇÃO FUTURA DE EMPRESA ESPECIALIZADA EM RECARGA DE EXTINTORES DE INCÊNDIO PREDIAL E VEICULARES CONFORME TERMO DE REFERENCIA, PARA ATENDER SOLICITAÇÃO DA GERÊNCIA DE ADMINISTRAÇÃO DO MUNICÍPIO DE NAVIRAÍ-MS. PEDIDO DE SERVIÇO Nº 393/2021</w:t>
      </w:r>
      <w:r>
        <w:rPr>
          <w:sz w:val="24"/>
          <w:szCs w:val="24"/>
          <w:lang w:eastAsia="pt-BR"/>
        </w:rPr>
        <w:t xml:space="preserve">, conforme as especificações da proposta de preços apresentada no </w:t>
      </w:r>
      <w:r>
        <w:rPr>
          <w:b/>
          <w:bCs/>
          <w:sz w:val="24"/>
          <w:szCs w:val="24"/>
          <w:lang w:eastAsia="pt-BR"/>
        </w:rPr>
        <w:t>Pregão Presencial n° 161/2021, Processo n° 283/2021</w:t>
      </w:r>
      <w:r>
        <w:rPr>
          <w:sz w:val="24"/>
          <w:szCs w:val="24"/>
          <w:lang w:eastAsia="pt-BR"/>
        </w:rPr>
        <w:t>, os quais, independentemente de transcrição, fazem parte deste instrumento, naquilo que não o contrarie.</w:t>
      </w:r>
    </w:p>
    <w:p>
      <w:pPr>
        <w:jc w:val="both"/>
        <w:rPr>
          <w:b/>
          <w:bCs/>
          <w:sz w:val="24"/>
          <w:szCs w:val="24"/>
          <w:lang w:eastAsia="pt-BR"/>
        </w:rPr>
      </w:pPr>
    </w:p>
    <w:p>
      <w:pPr>
        <w:jc w:val="both"/>
        <w:rPr>
          <w:rStyle w:val="13"/>
          <w:rFonts w:eastAsia="Times New Roman"/>
          <w:bCs/>
          <w:i w:val="0"/>
          <w:iCs w:val="0"/>
          <w:sz w:val="24"/>
          <w:szCs w:val="24"/>
          <w:lang w:eastAsia="pt-BR"/>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jc w:val="both"/>
        <w:rPr>
          <w:rStyle w:val="13"/>
          <w:rFonts w:eastAsia="Times New Roman"/>
          <w:bCs/>
          <w:i w:val="0"/>
          <w:iCs w:val="0"/>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de </w:t>
      </w:r>
      <w:r>
        <w:rPr>
          <w:sz w:val="24"/>
          <w:szCs w:val="24"/>
          <w:highlight w:val="yellow"/>
          <w:lang w:eastAsia="pt-BR"/>
        </w:rPr>
        <w:t>15 (quinze) dias úteis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pPr>
      <w:r>
        <w:rPr>
          <w:b/>
          <w:bCs/>
          <w:sz w:val="24"/>
          <w:szCs w:val="24"/>
        </w:rPr>
        <w:t>7.1</w:t>
      </w:r>
      <w:r>
        <w:rPr>
          <w:sz w:val="24"/>
          <w:szCs w:val="24"/>
        </w:rPr>
        <w:t xml:space="preserve"> – Os itens licitados serão solicitados conforme a necessidade da Gerência, e deverão ser entregues no </w:t>
      </w:r>
      <w:r>
        <w:rPr>
          <w:sz w:val="24"/>
          <w:szCs w:val="24"/>
          <w:highlight w:val="yellow"/>
        </w:rPr>
        <w:t>Almoxarifado Central/Local indicado na Ordem de Fornecimento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.3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.4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w:t>
      </w:r>
      <w:r>
        <w:rPr>
          <w:rFonts w:ascii="Times New Roman" w:hAnsi="Times New Roman" w:eastAsia="Times New Roman" w:cs="Times New Roman"/>
          <w:sz w:val="24"/>
          <w:szCs w:val="24"/>
          <w:lang w:eastAsia="pt-BR"/>
        </w:rPr>
        <w:t xml:space="preserve">(Índice acumulado nos últimos doze meses), </w:t>
      </w:r>
      <w:r>
        <w:rPr>
          <w:sz w:val="24"/>
          <w:szCs w:val="24"/>
          <w:lang w:eastAsia="pt-BR"/>
        </w:rPr>
        <w:t>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8"/>
        </w:rPr>
        <w:t>www.navirai.ms.gov.br/licitacoes</w:t>
      </w:r>
      <w:r>
        <w:rPr>
          <w:rStyle w:val="208"/>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widowControl w:val="0"/>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ANTONIA GISALDA MORALLES BALTA</w:t>
            </w:r>
          </w:p>
          <w:p>
            <w:pPr>
              <w:keepNext/>
              <w:widowControl w:val="0"/>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 de Administração e Ord. de Desp.</w:t>
            </w:r>
          </w:p>
          <w:p>
            <w:pPr>
              <w:keepNext/>
              <w:widowControl w:val="0"/>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Conforme Decreto nº 009/2021</w:t>
            </w:r>
          </w:p>
          <w:p>
            <w:pPr>
              <w:keepNext/>
              <w:widowControl w:val="0"/>
              <w:numPr>
                <w:ilvl w:val="0"/>
                <w:numId w:val="0"/>
              </w:numPr>
              <w:tabs>
                <w:tab w:val="left" w:pos="708"/>
                <w:tab w:val="left" w:pos="5562"/>
              </w:tabs>
              <w:ind w:left="0" w:right="33" w:firstLine="0"/>
              <w:jc w:val="center"/>
              <w:outlineLvl w:val="3"/>
              <w:rPr>
                <w:rFonts w:eastAsia="MS Mincho;ＭＳ 明朝"/>
                <w:b/>
                <w:iCs/>
                <w:sz w:val="22"/>
                <w:szCs w:val="22"/>
              </w:rPr>
            </w:pP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JOSEMAR TOMAZELLI</w:t>
            </w:r>
          </w:p>
          <w:p>
            <w:pPr>
              <w:widowControl w:val="0"/>
              <w:tabs>
                <w:tab w:val="left" w:pos="5562"/>
              </w:tabs>
              <w:ind w:left="0" w:right="33" w:firstLine="0"/>
              <w:jc w:val="center"/>
              <w:rPr>
                <w:rFonts w:eastAsia="MS Mincho;ＭＳ 明朝"/>
                <w:b/>
                <w:iCs/>
                <w:sz w:val="22"/>
              </w:rPr>
            </w:pPr>
            <w:r>
              <w:rPr>
                <w:rFonts w:eastAsia="MS Mincho;ＭＳ 明朝"/>
                <w:b/>
                <w:iCs/>
                <w:sz w:val="22"/>
              </w:rPr>
              <w:t>Ger. de Finanças e Ordenador de Despesas</w:t>
            </w:r>
          </w:p>
          <w:p>
            <w:pPr>
              <w:widowControl w:val="0"/>
              <w:ind w:left="-142" w:right="-108" w:firstLine="0"/>
              <w:jc w:val="center"/>
              <w:rPr>
                <w:rFonts w:eastAsia="MS Mincho;ＭＳ 明朝"/>
                <w:b/>
                <w:iCs/>
                <w:sz w:val="22"/>
              </w:rPr>
            </w:pPr>
            <w:r>
              <w:rPr>
                <w:rFonts w:eastAsia="MS Mincho;ＭＳ 明朝"/>
                <w:b/>
                <w:iCs/>
                <w:sz w:val="22"/>
              </w:rPr>
              <w:t>Conforme Decreto nº. 025/2021</w:t>
            </w:r>
          </w:p>
          <w:p>
            <w:pPr>
              <w:widowControl w:val="0"/>
              <w:ind w:left="-142" w:right="-108" w:firstLine="0"/>
              <w:jc w:val="center"/>
              <w:rPr>
                <w:rFonts w:eastAsia="MS Mincho;ＭＳ 明朝"/>
                <w:b/>
                <w:iCs/>
                <w:sz w:val="22"/>
              </w:rPr>
            </w:pP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val="0"/>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ind w:left="0" w:right="33" w:firstLine="0"/>
              <w:jc w:val="center"/>
              <w:rPr>
                <w:rFonts w:eastAsia="MS Mincho;ＭＳ 明朝"/>
                <w:b/>
                <w:sz w:val="22"/>
                <w:szCs w:val="22"/>
              </w:rPr>
            </w:pP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EUGENIO DE ALMEIDA GUEDES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Desenvolvimento Econ.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005/2021</w:t>
            </w:r>
          </w:p>
          <w:p>
            <w:pPr>
              <w:widowControl w:val="0"/>
              <w:tabs>
                <w:tab w:val="left" w:pos="5562"/>
              </w:tabs>
              <w:ind w:left="0" w:right="33" w:firstLine="0"/>
              <w:jc w:val="center"/>
              <w:rPr>
                <w:rFonts w:eastAsia="MS Mincho;ＭＳ 明朝"/>
                <w:b/>
                <w:iCs/>
                <w:sz w:val="22"/>
                <w:szCs w:val="22"/>
              </w:rPr>
            </w:pP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widowControl w:val="0"/>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widowControl w:val="0"/>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p>
            <w:pPr>
              <w:widowControl w:val="0"/>
              <w:tabs>
                <w:tab w:val="left" w:pos="5562"/>
              </w:tabs>
              <w:ind w:left="0" w:right="33" w:firstLine="0"/>
              <w:jc w:val="center"/>
              <w:rPr>
                <w:rFonts w:eastAsia="MS Mincho;ＭＳ 明朝"/>
                <w:b/>
                <w:iCs/>
                <w:sz w:val="22"/>
                <w:szCs w:val="22"/>
              </w:rPr>
            </w:pP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ANA PAULA RODRIGUES DA SILVA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Gerente de Receita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002/2021</w:t>
            </w:r>
          </w:p>
          <w:p>
            <w:pPr>
              <w:widowControl w:val="0"/>
              <w:tabs>
                <w:tab w:val="left" w:pos="5562"/>
              </w:tabs>
              <w:ind w:left="0" w:right="33" w:firstLine="0"/>
              <w:jc w:val="center"/>
              <w:rPr>
                <w:rFonts w:eastAsia="MS Mincho;ＭＳ 明朝"/>
                <w:b/>
                <w:iCs/>
                <w:sz w:val="22"/>
                <w:szCs w:val="22"/>
              </w:rPr>
            </w:pP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p>
            <w:pPr>
              <w:widowControl w:val="0"/>
              <w:tabs>
                <w:tab w:val="left" w:pos="5562"/>
              </w:tabs>
              <w:ind w:left="0" w:right="33" w:firstLine="0"/>
              <w:jc w:val="center"/>
              <w:rPr>
                <w:rFonts w:eastAsia="MS Mincho;ＭＳ 明朝"/>
                <w:b/>
                <w:iCs/>
                <w:sz w:val="22"/>
              </w:rPr>
            </w:pP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p>
            <w:pPr>
              <w:widowControl w:val="0"/>
              <w:tabs>
                <w:tab w:val="left" w:pos="5562"/>
              </w:tabs>
              <w:ind w:left="0" w:right="33" w:firstLine="0"/>
              <w:jc w:val="center"/>
              <w:rPr>
                <w:rFonts w:eastAsia="MS Mincho;ＭＳ 明朝"/>
                <w:b/>
                <w:iCs/>
                <w:sz w:val="22"/>
              </w:rPr>
            </w:pP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BRENDO CAIQUE BARBOSA DOS SANTOS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Esportes e Lazer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004/2021</w:t>
            </w:r>
          </w:p>
          <w:p>
            <w:pPr>
              <w:widowControl w:val="0"/>
              <w:tabs>
                <w:tab w:val="left" w:pos="5562"/>
              </w:tabs>
              <w:ind w:left="0" w:right="33" w:firstLine="0"/>
              <w:jc w:val="center"/>
              <w:rPr>
                <w:rFonts w:eastAsia="MS Mincho;ＭＳ 明朝"/>
                <w:b/>
                <w:iCs/>
                <w:sz w:val="22"/>
                <w:szCs w:val="22"/>
              </w:rPr>
            </w:pP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JORGE LUIS DE LUCIA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Obras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011/2021</w:t>
            </w: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pacing w:line="276" w:lineRule="auto"/>
              <w:ind w:left="0" w:right="33" w:firstLine="0"/>
              <w:jc w:val="center"/>
              <w:rPr>
                <w:rFonts w:eastAsia="MS Mincho;ＭＳ 明朝"/>
                <w:b/>
                <w:sz w:val="22"/>
                <w:szCs w:val="22"/>
                <w:lang w:eastAsia="pt-BR"/>
              </w:rPr>
            </w:pPr>
          </w:p>
          <w:p>
            <w:pPr>
              <w:widowControl w:val="0"/>
              <w:tabs>
                <w:tab w:val="left" w:pos="5562"/>
              </w:tabs>
              <w:suppressAutoHyphens/>
              <w:overflowPunct w:val="0"/>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PRISCILLA DE OLIVEIRA DA SILVA</w:t>
            </w:r>
          </w:p>
          <w:p>
            <w:pPr>
              <w:widowControl w:val="0"/>
              <w:tabs>
                <w:tab w:val="left" w:pos="5562"/>
              </w:tabs>
              <w:suppressAutoHyphens/>
              <w:overflowPunct w:val="0"/>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Assessora de Gabinete e Ordenadora de Despesas</w:t>
            </w:r>
          </w:p>
          <w:p>
            <w:pPr>
              <w:widowControl w:val="0"/>
              <w:tabs>
                <w:tab w:val="left" w:pos="5562"/>
              </w:tabs>
              <w:ind w:left="0" w:right="33" w:firstLine="0"/>
              <w:jc w:val="center"/>
              <w:rPr>
                <w:rFonts w:eastAsia="MS Mincho;ＭＳ 明朝"/>
                <w:b/>
                <w:sz w:val="22"/>
                <w:szCs w:val="22"/>
                <w:lang w:eastAsia="pt-BR"/>
              </w:rPr>
            </w:pPr>
            <w:r>
              <w:rPr>
                <w:rFonts w:eastAsia="MS Mincho;ＭＳ 明朝"/>
                <w:b/>
                <w:sz w:val="22"/>
                <w:szCs w:val="22"/>
                <w:lang w:eastAsia="pt-BR"/>
              </w:rPr>
              <w:t>Conforme Decreto nº 014/2021</w:t>
            </w:r>
          </w:p>
        </w:tc>
        <w:tc>
          <w:tcPr>
            <w:tcW w:w="3695" w:type="dxa"/>
          </w:tcPr>
          <w:p>
            <w:pPr>
              <w:widowControl w:val="0"/>
              <w:jc w:val="center"/>
              <w:rPr>
                <w:rFonts w:eastAsia="MS Mincho;ＭＳ 明朝"/>
                <w:b/>
                <w:iCs/>
                <w:sz w:val="22"/>
              </w:rPr>
            </w:pPr>
          </w:p>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rPr>
          <w:b/>
          <w:bCs/>
          <w:sz w:val="24"/>
          <w:szCs w:val="24"/>
          <w:lang w:eastAsia="pt-BR"/>
        </w:rPr>
      </w:pPr>
      <w:r>
        <w:rPr>
          <w:b/>
          <w:bCs/>
          <w:sz w:val="24"/>
          <w:szCs w:val="24"/>
          <w:lang w:eastAsia="pt-BR"/>
        </w:rPr>
        <w:br w:type="page"/>
      </w: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161</w:t>
      </w:r>
      <w:r>
        <w:rPr>
          <w:b/>
          <w:sz w:val="24"/>
          <w:szCs w:val="24"/>
          <w:lang w:eastAsia="pt-BR"/>
        </w:rPr>
        <w:t>/2021</w:t>
      </w:r>
      <w:r>
        <w:rPr>
          <w:sz w:val="24"/>
          <w:szCs w:val="24"/>
          <w:lang w:eastAsia="pt-BR"/>
        </w:rPr>
        <w:t xml:space="preserve"> – Processo nº. 283</w:t>
      </w:r>
      <w:r>
        <w:rPr>
          <w:b/>
          <w:sz w:val="24"/>
          <w:szCs w:val="24"/>
          <w:lang w:eastAsia="pt-BR"/>
        </w:rPr>
        <w:t>/2021</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fixed"/>
        <w:tblCellMar>
          <w:top w:w="0" w:type="dxa"/>
          <w:left w:w="108" w:type="dxa"/>
          <w:bottom w:w="0" w:type="dxa"/>
          <w:right w:w="108" w:type="dxa"/>
        </w:tblCellMar>
      </w:tblPr>
      <w:tblGrid>
        <w:gridCol w:w="753"/>
        <w:gridCol w:w="828"/>
        <w:gridCol w:w="807"/>
        <w:gridCol w:w="3583"/>
        <w:gridCol w:w="1418"/>
        <w:gridCol w:w="1680"/>
      </w:tblGrid>
      <w:tr>
        <w:tblPrEx>
          <w:tblCellMar>
            <w:top w:w="0" w:type="dxa"/>
            <w:left w:w="108" w:type="dxa"/>
            <w:bottom w:w="0" w:type="dxa"/>
            <w:right w:w="108" w:type="dxa"/>
          </w:tblCellMar>
        </w:tblPrEx>
        <w:tc>
          <w:tcPr>
            <w:tcW w:w="753"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QTDE</w:t>
            </w:r>
          </w:p>
        </w:tc>
        <w:tc>
          <w:tcPr>
            <w:tcW w:w="807"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UNID</w:t>
            </w:r>
          </w:p>
        </w:tc>
        <w:tc>
          <w:tcPr>
            <w:tcW w:w="3583"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ESPECIFICAÇÃO</w:t>
            </w:r>
          </w:p>
        </w:tc>
        <w:tc>
          <w:tcPr>
            <w:tcW w:w="1418"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MARCA MODELO</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val="0"/>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3"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807"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3583"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41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val="0"/>
              <w:snapToGrid w:val="0"/>
              <w:spacing w:line="276" w:lineRule="auto"/>
              <w:jc w:val="center"/>
              <w:rPr>
                <w:bCs/>
                <w:lang w:eastAsia="pt-BR"/>
              </w:rPr>
            </w:pPr>
          </w:p>
        </w:tc>
      </w:tr>
      <w:tr>
        <w:tblPrEx>
          <w:tblCellMar>
            <w:top w:w="0" w:type="dxa"/>
            <w:left w:w="108" w:type="dxa"/>
            <w:bottom w:w="0" w:type="dxa"/>
            <w:right w:w="108" w:type="dxa"/>
          </w:tblCellMar>
        </w:tblPrEx>
        <w:tc>
          <w:tcPr>
            <w:tcW w:w="753"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807"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3583"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41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val="0"/>
              <w:snapToGrid w:val="0"/>
              <w:spacing w:line="276" w:lineRule="auto"/>
              <w:jc w:val="center"/>
              <w:rPr>
                <w:bCs/>
                <w:lang w:eastAsia="pt-BR"/>
              </w:rPr>
            </w:pPr>
          </w:p>
        </w:tc>
      </w:tr>
      <w:tr>
        <w:tblPrEx>
          <w:tblCellMar>
            <w:top w:w="0" w:type="dxa"/>
            <w:left w:w="108" w:type="dxa"/>
            <w:bottom w:w="0" w:type="dxa"/>
            <w:right w:w="108" w:type="dxa"/>
          </w:tblCellMar>
        </w:tblPrEx>
        <w:tc>
          <w:tcPr>
            <w:tcW w:w="753"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807"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3583"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41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val="0"/>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t>.</w:t>
      </w:r>
    </w:p>
    <w:tbl>
      <w:tblPr>
        <w:tblStyle w:val="12"/>
        <w:tblW w:w="94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widowControl w:val="0"/>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ANTONIA GISALDA MORALLES BALTA</w:t>
            </w:r>
          </w:p>
          <w:p>
            <w:pPr>
              <w:keepNext/>
              <w:widowControl w:val="0"/>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 de Administração e Ord. de Desp.</w:t>
            </w:r>
          </w:p>
          <w:p>
            <w:pPr>
              <w:keepNext/>
              <w:widowControl w:val="0"/>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Conforme Decreto nº 009/2021</w:t>
            </w:r>
          </w:p>
          <w:p>
            <w:pPr>
              <w:keepNext/>
              <w:widowControl w:val="0"/>
              <w:numPr>
                <w:ilvl w:val="0"/>
                <w:numId w:val="0"/>
              </w:numPr>
              <w:tabs>
                <w:tab w:val="left" w:pos="708"/>
                <w:tab w:val="left" w:pos="5562"/>
              </w:tabs>
              <w:ind w:left="0" w:right="33" w:firstLine="0"/>
              <w:jc w:val="center"/>
              <w:outlineLvl w:val="3"/>
              <w:rPr>
                <w:rFonts w:eastAsia="MS Mincho;ＭＳ 明朝"/>
                <w:b/>
                <w:iCs/>
                <w:sz w:val="22"/>
                <w:szCs w:val="22"/>
              </w:rPr>
            </w:pP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JOSEMAR TOMAZELLI</w:t>
            </w:r>
          </w:p>
          <w:p>
            <w:pPr>
              <w:widowControl w:val="0"/>
              <w:tabs>
                <w:tab w:val="left" w:pos="5562"/>
              </w:tabs>
              <w:ind w:left="0" w:right="33" w:firstLine="0"/>
              <w:jc w:val="center"/>
              <w:rPr>
                <w:rFonts w:eastAsia="MS Mincho;ＭＳ 明朝"/>
                <w:b/>
                <w:iCs/>
                <w:sz w:val="22"/>
              </w:rPr>
            </w:pPr>
            <w:r>
              <w:rPr>
                <w:rFonts w:eastAsia="MS Mincho;ＭＳ 明朝"/>
                <w:b/>
                <w:iCs/>
                <w:sz w:val="22"/>
              </w:rPr>
              <w:t>Ger. de Finanças e Ordenador de Despesas</w:t>
            </w:r>
          </w:p>
          <w:p>
            <w:pPr>
              <w:widowControl w:val="0"/>
              <w:ind w:left="-142" w:right="-108" w:firstLine="0"/>
              <w:jc w:val="center"/>
              <w:rPr>
                <w:rFonts w:eastAsia="MS Mincho;ＭＳ 明朝"/>
                <w:b/>
                <w:iCs/>
                <w:sz w:val="22"/>
              </w:rPr>
            </w:pPr>
            <w:r>
              <w:rPr>
                <w:rFonts w:eastAsia="MS Mincho;ＭＳ 明朝"/>
                <w:b/>
                <w:iCs/>
                <w:sz w:val="22"/>
              </w:rPr>
              <w:t>Conforme Decreto nº. 025/2021</w:t>
            </w:r>
          </w:p>
          <w:p>
            <w:pPr>
              <w:widowControl w:val="0"/>
              <w:ind w:left="-142" w:right="-108" w:firstLine="0"/>
              <w:jc w:val="center"/>
              <w:rPr>
                <w:rFonts w:eastAsia="MS Mincho;ＭＳ 明朝"/>
                <w:b/>
                <w:iCs/>
                <w:sz w:val="22"/>
              </w:rPr>
            </w:pP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val="0"/>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ind w:left="0" w:right="33" w:firstLine="0"/>
              <w:jc w:val="center"/>
              <w:rPr>
                <w:rFonts w:eastAsia="MS Mincho;ＭＳ 明朝"/>
                <w:b/>
                <w:sz w:val="22"/>
                <w:szCs w:val="22"/>
              </w:rPr>
            </w:pP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EUGENIO DE ALMEIDA GUEDES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Desenvolvimento Econ.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005/2021</w:t>
            </w:r>
          </w:p>
          <w:p>
            <w:pPr>
              <w:widowControl w:val="0"/>
              <w:tabs>
                <w:tab w:val="left" w:pos="5562"/>
              </w:tabs>
              <w:ind w:left="0" w:right="33" w:firstLine="0"/>
              <w:jc w:val="center"/>
              <w:rPr>
                <w:rFonts w:eastAsia="MS Mincho;ＭＳ 明朝"/>
                <w:b/>
                <w:iCs/>
                <w:sz w:val="22"/>
                <w:szCs w:val="22"/>
              </w:rPr>
            </w:pP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widowControl w:val="0"/>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widowControl w:val="0"/>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p>
            <w:pPr>
              <w:widowControl w:val="0"/>
              <w:tabs>
                <w:tab w:val="left" w:pos="5562"/>
              </w:tabs>
              <w:ind w:left="0" w:right="33" w:firstLine="0"/>
              <w:jc w:val="center"/>
              <w:rPr>
                <w:rFonts w:eastAsia="MS Mincho;ＭＳ 明朝"/>
                <w:b/>
                <w:iCs/>
                <w:sz w:val="22"/>
                <w:szCs w:val="22"/>
              </w:rPr>
            </w:pP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ANA PAULA RODRIGUES DA SILVA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Gerente de Receita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002/2021</w:t>
            </w:r>
          </w:p>
          <w:p>
            <w:pPr>
              <w:widowControl w:val="0"/>
              <w:tabs>
                <w:tab w:val="left" w:pos="5562"/>
              </w:tabs>
              <w:ind w:left="0" w:right="33" w:firstLine="0"/>
              <w:jc w:val="center"/>
              <w:rPr>
                <w:rFonts w:eastAsia="MS Mincho;ＭＳ 明朝"/>
                <w:b/>
                <w:iCs/>
                <w:sz w:val="22"/>
                <w:szCs w:val="22"/>
              </w:rPr>
            </w:pP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p>
            <w:pPr>
              <w:widowControl w:val="0"/>
              <w:tabs>
                <w:tab w:val="left" w:pos="5562"/>
              </w:tabs>
              <w:ind w:left="0" w:right="33" w:firstLine="0"/>
              <w:jc w:val="center"/>
              <w:rPr>
                <w:rFonts w:eastAsia="MS Mincho;ＭＳ 明朝"/>
                <w:b/>
                <w:iCs/>
                <w:sz w:val="22"/>
              </w:rPr>
            </w:pPr>
          </w:p>
          <w:p>
            <w:pPr>
              <w:widowControl w:val="0"/>
              <w:tabs>
                <w:tab w:val="left" w:pos="5562"/>
              </w:tabs>
              <w:ind w:left="0" w:right="33" w:firstLine="0"/>
              <w:jc w:val="center"/>
              <w:rPr>
                <w:rFonts w:eastAsia="MS Mincho;ＭＳ 明朝"/>
                <w:b/>
                <w:iCs/>
                <w:sz w:val="22"/>
              </w:rPr>
            </w:pP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p>
            <w:pPr>
              <w:widowControl w:val="0"/>
              <w:tabs>
                <w:tab w:val="left" w:pos="5562"/>
              </w:tabs>
              <w:ind w:left="0" w:right="33" w:firstLine="0"/>
              <w:jc w:val="center"/>
              <w:rPr>
                <w:rFonts w:eastAsia="MS Mincho;ＭＳ 明朝"/>
                <w:b/>
                <w:iCs/>
                <w:sz w:val="22"/>
              </w:rPr>
            </w:pP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BRENDO CAIQUE BARBOSA DOS SANTOS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Esportes e Lazer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004/2021</w:t>
            </w:r>
          </w:p>
          <w:p>
            <w:pPr>
              <w:widowControl w:val="0"/>
              <w:tabs>
                <w:tab w:val="left" w:pos="5562"/>
              </w:tabs>
              <w:ind w:left="0" w:right="33" w:firstLine="0"/>
              <w:jc w:val="center"/>
              <w:rPr>
                <w:rFonts w:eastAsia="MS Mincho;ＭＳ 明朝"/>
                <w:b/>
                <w:iCs/>
                <w:sz w:val="22"/>
                <w:szCs w:val="22"/>
              </w:rPr>
            </w:pP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JORGE LUIS DE LUCIA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Obras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011/2021</w:t>
            </w:r>
          </w:p>
          <w:p>
            <w:pPr>
              <w:widowControl w:val="0"/>
              <w:tabs>
                <w:tab w:val="left" w:pos="5562"/>
              </w:tabs>
              <w:ind w:left="0" w:right="33" w:firstLine="0"/>
              <w:jc w:val="center"/>
              <w:rPr>
                <w:rFonts w:eastAsia="MS Mincho;ＭＳ 明朝"/>
                <w:b/>
                <w:iCs/>
                <w:sz w:val="22"/>
                <w:szCs w:val="22"/>
              </w:rPr>
            </w:pP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PRISCILLA DE OLIVEIRA DA SILVA</w:t>
            </w:r>
          </w:p>
          <w:p>
            <w:pPr>
              <w:widowControl w:val="0"/>
              <w:tabs>
                <w:tab w:val="left" w:pos="5562"/>
              </w:tabs>
              <w:suppressAutoHyphens/>
              <w:overflowPunct w:val="0"/>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Assessora de Gabinete e Ordenadora de Despesas</w:t>
            </w:r>
          </w:p>
          <w:p>
            <w:pPr>
              <w:widowControl w:val="0"/>
              <w:tabs>
                <w:tab w:val="left" w:pos="5562"/>
              </w:tabs>
              <w:ind w:left="0" w:right="33" w:firstLine="0"/>
              <w:jc w:val="center"/>
              <w:rPr>
                <w:rFonts w:eastAsia="MS Mincho;ＭＳ 明朝"/>
                <w:b/>
                <w:sz w:val="22"/>
                <w:szCs w:val="22"/>
                <w:lang w:eastAsia="pt-BR"/>
              </w:rPr>
            </w:pPr>
            <w:r>
              <w:rPr>
                <w:rFonts w:eastAsia="MS Mincho;ＭＳ 明朝"/>
                <w:b/>
                <w:sz w:val="22"/>
                <w:szCs w:val="22"/>
                <w:lang w:eastAsia="pt-BR"/>
              </w:rPr>
              <w:t>Conforme Decreto nº 014/2021</w:t>
            </w: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pPr>
      <w:r>
        <w:rPr>
          <w:b/>
          <w:bCs/>
          <w:sz w:val="24"/>
          <w:szCs w:val="24"/>
        </w:rPr>
        <w:t xml:space="preserve">PREGÃO PRESENCIAL Nº 161/2021 </w:t>
      </w: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com sede a Praça Prefeito Euclides Antônio Fabris n.º 343, inscrita no CGC/MF sob o n.º 03.155.934/0001-90</w:t>
      </w:r>
      <w:r>
        <w:rPr>
          <w:iCs/>
          <w:sz w:val="24"/>
          <w:szCs w:val="24"/>
        </w:rPr>
        <w:t xml:space="preserve">, </w:t>
      </w:r>
      <w:r>
        <w:rPr>
          <w:iCs/>
          <w:sz w:val="24"/>
          <w:szCs w:val="24"/>
          <w:highlight w:val="yellow"/>
        </w:rPr>
        <w:t>por meio do Fundo Municipal de Saúde, com sede a Avenida Amélia Fukuda nº. 100, inscrito no CGC/MF sob o n.º 11.221.619/0001-42</w:t>
      </w:r>
      <w:r>
        <w:rPr>
          <w:iCs/>
          <w:sz w:val="24"/>
          <w:szCs w:val="24"/>
        </w:rPr>
        <w:t xml:space="preserve">, </w:t>
      </w:r>
      <w:r>
        <w:rPr>
          <w:iCs/>
          <w:sz w:val="24"/>
          <w:szCs w:val="24"/>
          <w:highlight w:val="yellow"/>
        </w:rPr>
        <w:t>por meio do Fundo Municipal de Assistência Social, com sede a Avenida Iguatemi nº. 22, inscrito no CGC/MF sob o n.º 13.629.987/0001-50</w:t>
      </w:r>
      <w:r>
        <w:rPr>
          <w:iCs/>
          <w:sz w:val="24"/>
          <w:szCs w:val="24"/>
        </w:rPr>
        <w:t xml:space="preserve">, </w:t>
      </w:r>
      <w:r>
        <w:rPr>
          <w:iCs/>
          <w:sz w:val="24"/>
          <w:szCs w:val="24"/>
          <w:highlight w:val="yellow"/>
        </w:rPr>
        <w:t>por meio da Fundação Cultural, com sede a Rua Joaquim das Neves Norte nº. 490, inscrita no CGC/MF sob o n.º 00.063.821/0001-77</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sz w:val="24"/>
          <w:szCs w:val="24"/>
          <w:u w:val="single"/>
        </w:rPr>
        <w:t>Antonia Gisalda Moralles Balta</w:t>
      </w:r>
      <w:r>
        <w:rPr>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b/>
          <w:sz w:val="24"/>
          <w:szCs w:val="24"/>
          <w:u w:val="single"/>
        </w:rPr>
        <w:t>Priscilla de Oliveira da Silva</w:t>
      </w:r>
      <w:r>
        <w:rPr>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b/>
          <w:iCs/>
          <w:sz w:val="24"/>
          <w:szCs w:val="24"/>
          <w:u w:val="single"/>
        </w:rPr>
        <w:t>Josemar Tomazelli</w:t>
      </w:r>
      <w:r>
        <w:rPr>
          <w:iCs/>
          <w:sz w:val="24"/>
          <w:szCs w:val="24"/>
        </w:rPr>
        <w:t xml:space="preserve">, Gerente de Finanças e Ordenador de Despesas conforme Decreto nº. 025/2021, brasileiro, portador do CPF/MF nº. 465.733.721-15 e Cédula de Identidade RG nº. 590.539 SSP/MS, residente e domiciliado nesta cidade, a Rua Natureza, nº 148 – Bairro: Portinari; </w:t>
      </w:r>
      <w:r>
        <w:rPr>
          <w:b/>
          <w:sz w:val="24"/>
          <w:szCs w:val="24"/>
          <w:u w:val="single"/>
        </w:rPr>
        <w:t>Marcio Grei Alves Vidal de Figueiredo</w:t>
      </w:r>
      <w:r>
        <w:rPr>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eastAsia="Calibri"/>
          <w:iCs/>
          <w:sz w:val="24"/>
          <w:szCs w:val="24"/>
        </w:rPr>
        <w:t xml:space="preserve"> </w:t>
      </w:r>
      <w:r>
        <w:rPr>
          <w:b/>
          <w:iCs/>
          <w:sz w:val="24"/>
          <w:szCs w:val="24"/>
          <w:u w:val="single"/>
        </w:rPr>
        <w:t>Eugenio de Almeida Guedes</w:t>
      </w:r>
      <w:r>
        <w:rPr>
          <w:iCs/>
          <w:sz w:val="24"/>
          <w:szCs w:val="24"/>
        </w:rPr>
        <w:t xml:space="preserve">, Gerente de Desenvolvimento Econômico e Ordenador de Despesas conforme Decreto nº 005/2021, brasileiro, portador do CPF/MF nº 017.770.558-22 e Cédula de Identidade RG nº </w:t>
      </w:r>
      <w:r>
        <w:rPr>
          <w:color w:val="222222"/>
          <w:sz w:val="24"/>
          <w:szCs w:val="24"/>
          <w:highlight w:val="white"/>
        </w:rPr>
        <w:t>12.308.677</w:t>
      </w:r>
      <w:r>
        <w:rPr>
          <w:iCs/>
          <w:sz w:val="24"/>
          <w:szCs w:val="24"/>
        </w:rPr>
        <w:t xml:space="preserve"> SSP/SP, residente e domiciliado nesta cidade, a Rua Bandeirantes, 482 - Centro; </w:t>
      </w:r>
      <w:r>
        <w:rPr>
          <w:b/>
          <w:iCs/>
          <w:sz w:val="24"/>
          <w:szCs w:val="24"/>
          <w:u w:val="single"/>
        </w:rPr>
        <w:t>Luiz Alberto Ávila Silva Júnior</w:t>
      </w:r>
      <w:r>
        <w:rPr>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b/>
          <w:iCs/>
          <w:sz w:val="24"/>
          <w:szCs w:val="24"/>
          <w:u w:val="single"/>
        </w:rPr>
        <w:t>Ana Paula Rodrigues da Silva</w:t>
      </w:r>
      <w:r>
        <w:rPr>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b/>
          <w:sz w:val="24"/>
          <w:szCs w:val="24"/>
          <w:u w:val="single"/>
        </w:rPr>
        <w:t>Fabiano Costa,</w:t>
      </w:r>
      <w:r>
        <w:rPr>
          <w:sz w:val="24"/>
          <w:szCs w:val="24"/>
        </w:rPr>
        <w:t xml:space="preserve"> Gerente de Serviços Públicos e Ordenador de Despesas conforme Decreto nº. 109/2021, brasileiro, portador do CPF/MF nº 614.816.101-04 e Cédula de Identidade RG 53534597 SSP/PR, residente e domiciliado nesta cidade, à Avenida Dourados, 989 – Centro</w:t>
      </w:r>
      <w:r>
        <w:rPr>
          <w:iCs/>
          <w:sz w:val="24"/>
          <w:szCs w:val="24"/>
        </w:rPr>
        <w:t xml:space="preserve">; </w:t>
      </w:r>
      <w:r>
        <w:rPr>
          <w:b/>
          <w:sz w:val="24"/>
          <w:szCs w:val="24"/>
          <w:u w:val="single"/>
        </w:rPr>
        <w:t>Lucinéia Pulquério Garcia Franciscatti</w:t>
      </w:r>
      <w:r>
        <w:rPr>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b/>
          <w:sz w:val="24"/>
          <w:szCs w:val="24"/>
          <w:u w:val="single"/>
        </w:rPr>
        <w:t>Brendo Caique Barbosa dos</w:t>
      </w:r>
      <w:r>
        <w:rPr>
          <w:b/>
          <w:iCs/>
          <w:sz w:val="24"/>
          <w:szCs w:val="24"/>
          <w:u w:val="single"/>
        </w:rPr>
        <w:t xml:space="preserve"> </w:t>
      </w:r>
      <w:r>
        <w:rPr>
          <w:b/>
          <w:sz w:val="24"/>
          <w:szCs w:val="24"/>
          <w:u w:val="single"/>
        </w:rPr>
        <w:t>Santos</w:t>
      </w:r>
      <w:r>
        <w:rPr>
          <w:iCs/>
          <w:sz w:val="24"/>
          <w:szCs w:val="24"/>
        </w:rPr>
        <w:t xml:space="preserve">, Gerente de Esportes e Lazer e Ordenador de Despesas conforme Decreto nº. 004/2021, brasileiro, portador do CPF/MF nº 053.178.801-65 e Cédula de Identidade RG 2.091.964 SEJUSP/MS, residente e domiciliado nesta cidade, à Rua Alemanha, nº.184-A – Centro; </w:t>
      </w:r>
      <w:r>
        <w:rPr>
          <w:b/>
          <w:sz w:val="24"/>
          <w:szCs w:val="24"/>
          <w:u w:val="single"/>
        </w:rPr>
        <w:t>Jorge Luis de Lúcia</w:t>
      </w:r>
      <w:r>
        <w:rPr>
          <w:iCs/>
          <w:sz w:val="24"/>
          <w:szCs w:val="24"/>
        </w:rPr>
        <w:t>, Gerente de Obras e Ordenador de Despesas conforme Decreto nº. 011/2021, brasileiro, portador do CPF/MF nº. 079.589.258-67 e Cédula de Identidade RG nº. 9.057.438 SSP/SP, residente nesta cidade, à Avenida Amélia Fukuda,  nº 1216 – Jardim Oasis,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283/2021</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161/2021</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 xml:space="preserve">PARÁGRAFO ÚNICO: Cada Gerente subscreve este contrato com a responsabilidade adstrita ao quantitativo adquirido por sua respectiva </w:t>
      </w:r>
      <w:r>
        <w:rPr>
          <w:iCs/>
          <w:sz w:val="24"/>
          <w:szCs w:val="24"/>
          <w:lang w:val="pt-BR"/>
        </w:rPr>
        <w:t>Gerência</w:t>
      </w:r>
      <w:r>
        <w:rPr>
          <w:iCs/>
          <w:sz w:val="24"/>
          <w:szCs w:val="24"/>
        </w:rPr>
        <w:t>.</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6"/>
        </w:numPr>
        <w:tabs>
          <w:tab w:val="left" w:pos="1440"/>
        </w:tabs>
        <w:ind w:left="0" w:right="0" w:firstLine="0"/>
        <w:jc w:val="both"/>
        <w:textAlignment w:val="auto"/>
      </w:pPr>
      <w:r>
        <w:rPr>
          <w:iCs/>
          <w:sz w:val="24"/>
          <w:szCs w:val="24"/>
        </w:rPr>
        <w:t xml:space="preserve">Constitui objeto deste Contrato a </w:t>
      </w:r>
      <w:r>
        <w:rPr>
          <w:b/>
          <w:iCs/>
          <w:sz w:val="24"/>
          <w:szCs w:val="24"/>
        </w:rPr>
        <w:t>CONTRATAÇÃO DE EMPRESA ESPECIALIZADA EM RECARGA DE EXTI</w:t>
      </w:r>
      <w:r>
        <w:rPr>
          <w:rFonts w:hint="default"/>
          <w:b/>
          <w:iCs/>
          <w:sz w:val="24"/>
          <w:szCs w:val="24"/>
          <w:lang w:val="pt-BR"/>
        </w:rPr>
        <w:t>N</w:t>
      </w:r>
      <w:r>
        <w:rPr>
          <w:b/>
          <w:iCs/>
          <w:sz w:val="24"/>
          <w:szCs w:val="24"/>
        </w:rPr>
        <w:t xml:space="preserve">TORES DE </w:t>
      </w:r>
      <w:r>
        <w:rPr>
          <w:b/>
          <w:iCs/>
          <w:sz w:val="24"/>
          <w:szCs w:val="24"/>
          <w:lang w:val="pt-BR"/>
        </w:rPr>
        <w:t>INCÊNDIO</w:t>
      </w:r>
      <w:r>
        <w:rPr>
          <w:b/>
          <w:iCs/>
          <w:sz w:val="24"/>
          <w:szCs w:val="24"/>
        </w:rPr>
        <w:t xml:space="preserve"> PREDIAL E VEICULARES CONFORME TERMO DE REFERENCIA, PARA ATENDER SOLICITAÇÃO DA </w:t>
      </w:r>
      <w:r>
        <w:rPr>
          <w:b/>
          <w:iCs/>
          <w:sz w:val="24"/>
          <w:szCs w:val="24"/>
          <w:lang w:val="pt-BR"/>
        </w:rPr>
        <w:t>GERÊNCIA</w:t>
      </w:r>
      <w:r>
        <w:rPr>
          <w:b/>
          <w:iCs/>
          <w:sz w:val="24"/>
          <w:szCs w:val="24"/>
        </w:rPr>
        <w:t xml:space="preserve"> DE ADMINISTRAÇÃO DO MUNICÍPIO DE NAVIRAÍ-MS. PEDIDO DE SERVIÇO Nº 393/2021.</w:t>
      </w:r>
    </w:p>
    <w:p>
      <w:pPr>
        <w:widowControl w:val="0"/>
        <w:numPr>
          <w:ilvl w:val="0"/>
          <w:numId w:val="0"/>
        </w:numPr>
        <w:tabs>
          <w:tab w:val="left" w:pos="1440"/>
        </w:tabs>
        <w:ind w:leftChars="0" w:right="0" w:rightChars="0"/>
        <w:jc w:val="both"/>
        <w:textAlignment w:val="auto"/>
      </w:pPr>
    </w:p>
    <w:p>
      <w:pPr>
        <w:widowControl w:val="0"/>
        <w:numPr>
          <w:ilvl w:val="1"/>
          <w:numId w:val="6"/>
        </w:numPr>
        <w:ind w:left="0" w:leftChars="0" w:right="-568" w:firstLine="0" w:firstLineChars="0"/>
        <w:rPr>
          <w:rStyle w:val="13"/>
          <w:rFonts w:eastAsia="Times New Roman"/>
          <w:bCs/>
          <w:i w:val="0"/>
          <w:iCs w:val="0"/>
          <w:sz w:val="24"/>
          <w:szCs w:val="24"/>
          <w:lang w:eastAsia="pt-BR"/>
        </w:rPr>
      </w:pP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widowControl w:val="0"/>
        <w:numPr>
          <w:ilvl w:val="0"/>
          <w:numId w:val="0"/>
        </w:numPr>
        <w:ind w:leftChars="0" w:right="-568" w:rightChars="0"/>
        <w:rPr>
          <w:rStyle w:val="13"/>
          <w:rFonts w:eastAsia="Times New Roman"/>
          <w:bCs/>
          <w:i w:val="0"/>
          <w:iCs w:val="0"/>
          <w:sz w:val="24"/>
          <w:szCs w:val="24"/>
          <w:lang w:eastAsia="pt-BR"/>
        </w:rPr>
      </w:pPr>
    </w:p>
    <w:tbl>
      <w:tblPr>
        <w:tblStyle w:val="12"/>
        <w:tblW w:w="9195" w:type="dxa"/>
        <w:tblInd w:w="-7" w:type="dxa"/>
        <w:tblLayout w:type="fixed"/>
        <w:tblCellMar>
          <w:top w:w="0" w:type="dxa"/>
          <w:left w:w="108" w:type="dxa"/>
          <w:bottom w:w="0" w:type="dxa"/>
          <w:right w:w="108" w:type="dxa"/>
        </w:tblCellMar>
      </w:tblPr>
      <w:tblGrid>
        <w:gridCol w:w="1229"/>
        <w:gridCol w:w="1229"/>
        <w:gridCol w:w="1027"/>
        <w:gridCol w:w="5709"/>
      </w:tblGrid>
      <w:tr>
        <w:trPr>
          <w:trHeight w:val="364" w:hRule="atLeast"/>
        </w:trPr>
        <w:tc>
          <w:tcPr>
            <w:tcW w:w="1229" w:type="dxa"/>
            <w:tcBorders>
              <w:top w:val="single" w:color="000000" w:sz="6" w:space="0"/>
              <w:left w:val="single" w:color="000000" w:sz="6" w:space="0"/>
            </w:tcBorders>
            <w:vAlign w:val="center"/>
          </w:tcPr>
          <w:p>
            <w:pPr>
              <w:widowControl w:val="0"/>
              <w:spacing w:line="276" w:lineRule="auto"/>
              <w:jc w:val="center"/>
              <w:rPr>
                <w:rFonts w:eastAsia="Arial Unicode MS"/>
              </w:rPr>
            </w:pPr>
            <w:r>
              <w:rPr>
                <w:rFonts w:eastAsia="Arial Unicode MS"/>
              </w:rPr>
              <w:t>ITEM</w:t>
            </w:r>
          </w:p>
        </w:tc>
        <w:tc>
          <w:tcPr>
            <w:tcW w:w="1229" w:type="dxa"/>
            <w:tcBorders>
              <w:top w:val="single" w:color="000000" w:sz="6" w:space="0"/>
              <w:left w:val="single" w:color="000000" w:sz="6" w:space="0"/>
            </w:tcBorders>
            <w:vAlign w:val="center"/>
          </w:tcPr>
          <w:p>
            <w:pPr>
              <w:widowControl w:val="0"/>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widowControl w:val="0"/>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widowControl w:val="0"/>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rPr>
            </w:pPr>
            <w:r>
              <w:rPr>
                <w:rFonts w:eastAsia="Arial Unicode MS"/>
              </w:rPr>
              <w:t>1</w:t>
            </w:r>
          </w:p>
        </w:tc>
        <w:tc>
          <w:tcPr>
            <w:tcW w:w="1229"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172</w:t>
            </w:r>
          </w:p>
        </w:tc>
        <w:tc>
          <w:tcPr>
            <w:tcW w:w="1027"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5709" w:type="dxa"/>
            <w:tcBorders>
              <w:top w:val="single" w:color="000000" w:sz="4" w:space="0"/>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RECARGA DE EXTINTOR AP - 10 LITROS DE ÁGUA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2</w:t>
            </w:r>
          </w:p>
        </w:tc>
        <w:tc>
          <w:tcPr>
            <w:tcW w:w="1229"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RECARGA DE EXTINTOR PQS - 12 KG DE PÓ QUIMICO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3</w:t>
            </w:r>
          </w:p>
        </w:tc>
        <w:tc>
          <w:tcPr>
            <w:tcW w:w="1229"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41</w:t>
            </w:r>
          </w:p>
        </w:tc>
        <w:tc>
          <w:tcPr>
            <w:tcW w:w="102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RECARGA DE EXTINTOR PQS - 08 KG DE PÓ QUIMICO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4</w:t>
            </w:r>
          </w:p>
        </w:tc>
        <w:tc>
          <w:tcPr>
            <w:tcW w:w="1229"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107</w:t>
            </w:r>
          </w:p>
        </w:tc>
        <w:tc>
          <w:tcPr>
            <w:tcW w:w="102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RECARGA DE EXTINTOR PQS - 06 KG DE PÓ QUIMICO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5</w:t>
            </w:r>
          </w:p>
        </w:tc>
        <w:tc>
          <w:tcPr>
            <w:tcW w:w="1229"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145</w:t>
            </w:r>
          </w:p>
        </w:tc>
        <w:tc>
          <w:tcPr>
            <w:tcW w:w="102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RECARGA DE EXTINTOR PQS - 04 KG DE PÓ QUIMICO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6</w:t>
            </w:r>
          </w:p>
        </w:tc>
        <w:tc>
          <w:tcPr>
            <w:tcW w:w="1229"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56</w:t>
            </w:r>
          </w:p>
        </w:tc>
        <w:tc>
          <w:tcPr>
            <w:tcW w:w="102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RECARGA DE EXTINTOR CO2 - 06 KG DE DIÓXIDO DE CARBONO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7</w:t>
            </w:r>
          </w:p>
        </w:tc>
        <w:tc>
          <w:tcPr>
            <w:tcW w:w="1229"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186</w:t>
            </w:r>
          </w:p>
        </w:tc>
        <w:tc>
          <w:tcPr>
            <w:tcW w:w="102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RECARGA DE EXTINTOR VEICULAR PÓ QUIMICO CLASSE A,B,C - 04 KG.</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8</w:t>
            </w:r>
          </w:p>
        </w:tc>
        <w:tc>
          <w:tcPr>
            <w:tcW w:w="1229"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80</w:t>
            </w:r>
          </w:p>
        </w:tc>
        <w:tc>
          <w:tcPr>
            <w:tcW w:w="102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REC</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 xml:space="preserve">RECARGA DE EXTINTOR VEICULAR PÓ QUIMICO CLASSE A,B,C - 06 KG.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9</w:t>
            </w:r>
          </w:p>
        </w:tc>
        <w:tc>
          <w:tcPr>
            <w:tcW w:w="1229"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w:t>
            </w:r>
          </w:p>
        </w:tc>
        <w:tc>
          <w:tcPr>
            <w:tcW w:w="102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RECARGA DE EXTINTOR SOBRE-RODAS COM 75 LITROS  DE ÁGUA PRESSURIZADA</w:t>
            </w:r>
          </w:p>
        </w:tc>
      </w:tr>
    </w:tbl>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b/>
          <w:bCs/>
          <w:sz w:val="24"/>
          <w:szCs w:val="24"/>
        </w:rPr>
        <w:t>3.1</w:t>
      </w:r>
      <w:r>
        <w:rPr>
          <w:sz w:val="24"/>
          <w:szCs w:val="24"/>
        </w:rPr>
        <w:t xml:space="preserve"> – Os itens licitados serão solicitados conforme a necessidade da Gerência, e deverão ser entregues no Almoxarifado Central,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fixed"/>
        <w:tblCellMar>
          <w:top w:w="0" w:type="dxa"/>
          <w:left w:w="70" w:type="dxa"/>
          <w:bottom w:w="0" w:type="dxa"/>
          <w:right w:w="70" w:type="dxa"/>
        </w:tblCellMar>
      </w:tblPr>
      <w:tblGrid>
        <w:gridCol w:w="567"/>
        <w:gridCol w:w="633"/>
        <w:gridCol w:w="3118"/>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widowControl w:val="0"/>
              <w:jc w:val="center"/>
              <w:rPr>
                <w:bCs/>
              </w:rPr>
            </w:pPr>
            <w:r>
              <w:rPr>
                <w:bCs/>
              </w:rPr>
              <w:t>Item</w:t>
            </w:r>
          </w:p>
        </w:tc>
        <w:tc>
          <w:tcPr>
            <w:tcW w:w="633" w:type="dxa"/>
            <w:tcBorders>
              <w:top w:val="single" w:color="000000" w:sz="4" w:space="0"/>
              <w:left w:val="single" w:color="000000" w:sz="4" w:space="0"/>
              <w:bottom w:val="single" w:color="000000" w:sz="4" w:space="0"/>
            </w:tcBorders>
          </w:tcPr>
          <w:p>
            <w:pPr>
              <w:widowControl w:val="0"/>
              <w:jc w:val="center"/>
              <w:rPr>
                <w:bCs/>
              </w:rPr>
            </w:pPr>
            <w:r>
              <w:rPr>
                <w:bCs/>
              </w:rPr>
              <w:t>Cód.</w:t>
            </w:r>
          </w:p>
        </w:tc>
        <w:tc>
          <w:tcPr>
            <w:tcW w:w="3118" w:type="dxa"/>
            <w:tcBorders>
              <w:top w:val="single" w:color="000000" w:sz="4" w:space="0"/>
              <w:left w:val="single" w:color="000000" w:sz="4" w:space="0"/>
              <w:bottom w:val="single" w:color="000000" w:sz="4" w:space="0"/>
            </w:tcBorders>
          </w:tcPr>
          <w:p>
            <w:pPr>
              <w:widowControl w:val="0"/>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widowControl w:val="0"/>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widowControl w:val="0"/>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widowControl w:val="0"/>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widowControl w:val="0"/>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widowControl w:val="0"/>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widowControl w:val="0"/>
              <w:snapToGrid w:val="0"/>
              <w:jc w:val="center"/>
              <w:rPr>
                <w:bCs/>
              </w:rPr>
            </w:pPr>
          </w:p>
        </w:tc>
        <w:tc>
          <w:tcPr>
            <w:tcW w:w="633" w:type="dxa"/>
            <w:tcBorders>
              <w:top w:val="single" w:color="000000" w:sz="4" w:space="0"/>
              <w:left w:val="single" w:color="000000" w:sz="4" w:space="0"/>
              <w:bottom w:val="single" w:color="000000" w:sz="4" w:space="0"/>
            </w:tcBorders>
            <w:vAlign w:val="center"/>
          </w:tcPr>
          <w:p>
            <w:pPr>
              <w:widowControl w:val="0"/>
              <w:snapToGrid w:val="0"/>
              <w:jc w:val="center"/>
              <w:rPr>
                <w:bCs/>
              </w:rPr>
            </w:pPr>
          </w:p>
        </w:tc>
        <w:tc>
          <w:tcPr>
            <w:tcW w:w="3118" w:type="dxa"/>
            <w:tcBorders>
              <w:top w:val="single" w:color="000000" w:sz="4" w:space="0"/>
              <w:left w:val="single" w:color="000000" w:sz="4" w:space="0"/>
              <w:bottom w:val="single" w:color="000000" w:sz="4" w:space="0"/>
            </w:tcBorders>
          </w:tcPr>
          <w:p>
            <w:pPr>
              <w:widowControl w:val="0"/>
              <w:snapToGrid w:val="0"/>
              <w:jc w:val="both"/>
              <w:rPr>
                <w:bCs/>
              </w:rPr>
            </w:pPr>
          </w:p>
        </w:tc>
        <w:tc>
          <w:tcPr>
            <w:tcW w:w="992" w:type="dxa"/>
            <w:tcBorders>
              <w:top w:val="single" w:color="000000" w:sz="4" w:space="0"/>
              <w:left w:val="single" w:color="000000" w:sz="4" w:space="0"/>
              <w:bottom w:val="single" w:color="000000" w:sz="4" w:space="0"/>
            </w:tcBorders>
            <w:vAlign w:val="center"/>
          </w:tcPr>
          <w:p>
            <w:pPr>
              <w:widowControl w:val="0"/>
              <w:snapToGrid w:val="0"/>
              <w:rPr>
                <w:bCs/>
              </w:rPr>
            </w:pPr>
          </w:p>
        </w:tc>
        <w:tc>
          <w:tcPr>
            <w:tcW w:w="1134" w:type="dxa"/>
            <w:tcBorders>
              <w:top w:val="single" w:color="000000" w:sz="4" w:space="0"/>
              <w:left w:val="single" w:color="000000" w:sz="4" w:space="0"/>
              <w:bottom w:val="single" w:color="000000" w:sz="4" w:space="0"/>
            </w:tcBorders>
            <w:vAlign w:val="center"/>
          </w:tcPr>
          <w:p>
            <w:pPr>
              <w:widowControl w:val="0"/>
              <w:snapToGrid w:val="0"/>
              <w:jc w:val="center"/>
              <w:rPr>
                <w:bCs/>
              </w:rPr>
            </w:pPr>
          </w:p>
        </w:tc>
        <w:tc>
          <w:tcPr>
            <w:tcW w:w="851" w:type="dxa"/>
            <w:tcBorders>
              <w:top w:val="single" w:color="000000" w:sz="4" w:space="0"/>
              <w:left w:val="single" w:color="000000" w:sz="4" w:space="0"/>
              <w:bottom w:val="single" w:color="000000" w:sz="4" w:space="0"/>
            </w:tcBorders>
            <w:vAlign w:val="center"/>
          </w:tcPr>
          <w:p>
            <w:pPr>
              <w:widowControl w:val="0"/>
              <w:snapToGrid w:val="0"/>
              <w:jc w:val="center"/>
              <w:rPr>
                <w:bCs/>
              </w:rPr>
            </w:pPr>
          </w:p>
        </w:tc>
        <w:tc>
          <w:tcPr>
            <w:tcW w:w="1134" w:type="dxa"/>
            <w:tcBorders>
              <w:top w:val="single" w:color="000000" w:sz="4" w:space="0"/>
              <w:left w:val="single" w:color="000000" w:sz="4" w:space="0"/>
              <w:bottom w:val="single" w:color="000000" w:sz="4" w:space="0"/>
            </w:tcBorders>
            <w:vAlign w:val="center"/>
          </w:tcPr>
          <w:p>
            <w:pPr>
              <w:widowControl w:val="0"/>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bCs/>
              </w:rPr>
            </w:pPr>
          </w:p>
        </w:tc>
      </w:tr>
    </w:tbl>
    <w:p>
      <w:pPr>
        <w:widowControl w:val="0"/>
        <w:jc w:val="both"/>
        <w:rPr>
          <w:iCs/>
          <w:sz w:val="24"/>
          <w:szCs w:val="24"/>
        </w:rPr>
      </w:pPr>
    </w:p>
    <w:p>
      <w:pPr>
        <w:pStyle w:val="18"/>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7"/>
        </w:numPr>
        <w:rPr>
          <w:bCs/>
          <w:iCs/>
        </w:rPr>
      </w:pPr>
      <w:r>
        <w:rPr>
          <w:bCs/>
          <w:iCs/>
        </w:rPr>
        <w:t xml:space="preserve">Advertência; </w:t>
      </w:r>
    </w:p>
    <w:p>
      <w:pPr>
        <w:pStyle w:val="15"/>
        <w:ind w:left="900" w:right="0" w:firstLine="0"/>
        <w:rPr>
          <w:bCs/>
          <w:iCs/>
        </w:rPr>
      </w:pPr>
    </w:p>
    <w:p>
      <w:pPr>
        <w:pStyle w:val="15"/>
        <w:numPr>
          <w:ilvl w:val="0"/>
          <w:numId w:val="7"/>
        </w:numPr>
        <w:rPr>
          <w:bCs/>
          <w:iCs/>
        </w:rPr>
      </w:pPr>
      <w:r>
        <w:rPr>
          <w:bCs/>
          <w:iCs/>
        </w:rPr>
        <w:t>Multa de 10% (dez por cento) do valor do contrato,</w:t>
      </w:r>
    </w:p>
    <w:p>
      <w:pPr>
        <w:pStyle w:val="15"/>
        <w:numPr>
          <w:ilvl w:val="0"/>
          <w:numId w:val="7"/>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5"/>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3" w:type="dxa"/>
        <w:tblInd w:w="-5" w:type="dxa"/>
        <w:tblLayout w:type="fixed"/>
        <w:tblCellMar>
          <w:top w:w="0" w:type="dxa"/>
          <w:left w:w="108" w:type="dxa"/>
          <w:bottom w:w="0" w:type="dxa"/>
          <w:right w:w="108" w:type="dxa"/>
        </w:tblCellMar>
      </w:tblPr>
      <w:tblGrid>
        <w:gridCol w:w="5778"/>
        <w:gridCol w:w="3695"/>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widowControl w:val="0"/>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ANTONIA GISALDA MORALLES BALTA</w:t>
            </w:r>
          </w:p>
          <w:p>
            <w:pPr>
              <w:keepNext/>
              <w:widowControl w:val="0"/>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 de Administração e Ord. de Desp.</w:t>
            </w:r>
          </w:p>
          <w:p>
            <w:pPr>
              <w:keepNext/>
              <w:widowControl w:val="0"/>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Conforme Decreto nº 009/2021</w:t>
            </w:r>
          </w:p>
          <w:p>
            <w:pPr>
              <w:keepNext/>
              <w:widowControl w:val="0"/>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Contratante</w:t>
            </w:r>
          </w:p>
          <w:p>
            <w:pPr>
              <w:keepNext/>
              <w:widowControl w:val="0"/>
              <w:numPr>
                <w:ilvl w:val="0"/>
                <w:numId w:val="0"/>
              </w:numPr>
              <w:tabs>
                <w:tab w:val="left" w:pos="708"/>
                <w:tab w:val="left" w:pos="5562"/>
              </w:tabs>
              <w:ind w:left="0" w:right="33" w:firstLine="0"/>
              <w:jc w:val="center"/>
              <w:outlineLvl w:val="3"/>
              <w:rPr>
                <w:rFonts w:eastAsia="MS Mincho;ＭＳ 明朝"/>
                <w:b/>
                <w:iCs/>
                <w:sz w:val="22"/>
                <w:szCs w:val="22"/>
              </w:rPr>
            </w:pP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JOSEMAR TOMAZELLI</w:t>
            </w:r>
          </w:p>
          <w:p>
            <w:pPr>
              <w:widowControl w:val="0"/>
              <w:tabs>
                <w:tab w:val="left" w:pos="5562"/>
              </w:tabs>
              <w:ind w:left="0" w:right="33" w:firstLine="0"/>
              <w:jc w:val="center"/>
              <w:rPr>
                <w:rFonts w:eastAsia="MS Mincho;ＭＳ 明朝"/>
                <w:b/>
                <w:iCs/>
                <w:sz w:val="22"/>
              </w:rPr>
            </w:pPr>
            <w:r>
              <w:rPr>
                <w:rFonts w:eastAsia="MS Mincho;ＭＳ 明朝"/>
                <w:b/>
                <w:iCs/>
                <w:sz w:val="22"/>
              </w:rPr>
              <w:t>Ger. de Finanças e Ordenador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025/2021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suppressAutoHyphens/>
              <w:overflowPunct w:val="0"/>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val="0"/>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val="0"/>
              <w:spacing w:line="276" w:lineRule="auto"/>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EUGENIO DE ALMEIDA GUEDES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Desenvolvimento Econ.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005/2021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widowControl w:val="0"/>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widowControl w:val="0"/>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ANA PAULA RODRIGUES DA SILVA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Gerente de Receita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002/2021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BRENDO CAIQUE BARBOSA DOS SANTOS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Esportes e Lazer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004/2021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JORGE LUIS DE LUCIA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Obras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011/2021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PRISCILLA DE OLIVEIRA DA SILVA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Assessora de Gabinete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014/2021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rPr>
                <w:b/>
                <w:iCs/>
                <w:sz w:val="22"/>
              </w:rPr>
            </w:pPr>
            <w:r>
              <w:rPr>
                <w:rFonts w:eastAsia="Times New Roman"/>
                <w:b/>
                <w:iCs/>
                <w:sz w:val="22"/>
              </w:rPr>
              <w:t xml:space="preserve">           </w:t>
            </w:r>
            <w:r>
              <w:rPr>
                <w:rFonts w:eastAsia="MS Mincho;ＭＳ 明朝"/>
                <w:b/>
                <w:iCs/>
                <w:sz w:val="22"/>
              </w:rPr>
              <w:t>CPF:</w:t>
            </w:r>
          </w:p>
        </w:tc>
      </w:tr>
    </w:tbl>
    <w:p>
      <w:pPr>
        <w:rPr>
          <w:iCs/>
          <w:sz w:val="24"/>
          <w:szCs w:val="24"/>
        </w:rPr>
      </w:pPr>
    </w:p>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161/2021</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bookmarkStart w:id="0" w:name="_GoBack"/>
      <w:bookmarkEnd w:id="0"/>
      <w:r>
        <w:rPr>
          <w:b/>
          <w:bCs/>
          <w:sz w:val="24"/>
          <w:szCs w:val="24"/>
        </w:rPr>
        <w:t>PREGÃO PRESENCIAL N°. 161/2021</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161/2021</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161</w:t>
      </w:r>
      <w:r>
        <w:rPr>
          <w:b/>
          <w:bCs/>
          <w:sz w:val="24"/>
          <w:szCs w:val="24"/>
        </w:rPr>
        <w:t>/2021</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161/2021</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ind w:left="0" w:firstLine="0"/>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161/2021</w:t>
      </w:r>
    </w:p>
    <w:p>
      <w:pPr>
        <w:jc w:val="center"/>
        <w:rPr>
          <w:b/>
          <w:bCs/>
          <w:sz w:val="24"/>
          <w:szCs w:val="24"/>
        </w:rPr>
      </w:pPr>
    </w:p>
    <w:p>
      <w:pPr>
        <w:jc w:val="center"/>
        <w:rPr>
          <w:sz w:val="24"/>
          <w:szCs w:val="24"/>
        </w:rPr>
      </w:pPr>
    </w:p>
    <w:p>
      <w:pPr>
        <w:rPr>
          <w:sz w:val="24"/>
          <w:szCs w:val="24"/>
        </w:rPr>
      </w:pPr>
    </w:p>
    <w:p>
      <w:pPr>
        <w:jc w:val="right"/>
        <w:rPr>
          <w:sz w:val="24"/>
          <w:szCs w:val="24"/>
        </w:rPr>
      </w:pPr>
    </w:p>
    <w:p>
      <w:pPr>
        <w:jc w:val="right"/>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º ______________________________________ DECLARA, por seu representante legal infra-assinado que conhece e aceita o inteiro teor completo do edital deste Pregão Presencial 161</w:t>
      </w:r>
      <w:r>
        <w:rPr>
          <w:b/>
          <w:iCs/>
          <w:sz w:val="26"/>
          <w:szCs w:val="24"/>
        </w:rPr>
        <w:t>/2021.</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rPr>
          <w:b/>
          <w:bCs/>
          <w:sz w:val="22"/>
          <w:szCs w:val="22"/>
        </w:rPr>
      </w:pPr>
      <w:r>
        <w:rPr>
          <w:b/>
          <w:bCs/>
          <w:sz w:val="22"/>
          <w:szCs w:val="22"/>
        </w:rPr>
        <w:br w:type="page"/>
      </w:r>
    </w:p>
    <w:p>
      <w:pPr>
        <w:jc w:val="center"/>
        <w:rPr>
          <w:b/>
          <w:bCs/>
          <w:sz w:val="22"/>
          <w:szCs w:val="22"/>
        </w:rPr>
      </w:pPr>
    </w:p>
    <w:p>
      <w:pPr>
        <w:jc w:val="center"/>
      </w:pPr>
      <w:r>
        <w:rPr>
          <w:b/>
          <w:bCs/>
          <w:sz w:val="22"/>
          <w:szCs w:val="22"/>
        </w:rPr>
        <w:t>PREGÃO PRESENCIAL N° 15</w:t>
      </w:r>
      <w:r>
        <w:rPr>
          <w:rFonts w:hint="default"/>
          <w:b/>
          <w:bCs/>
          <w:sz w:val="22"/>
          <w:szCs w:val="22"/>
          <w:lang w:val="pt-BR"/>
        </w:rPr>
        <w:t>6</w:t>
      </w:r>
      <w:r>
        <w:rPr>
          <w:b/>
          <w:bCs/>
          <w:sz w:val="22"/>
          <w:szCs w:val="22"/>
        </w:rPr>
        <w:t>/2021</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ANEXO 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val="0"/>
        <w:spacing w:before="0" w:after="200" w:line="276" w:lineRule="auto"/>
        <w:jc w:val="both"/>
        <w:textAlignment w:val="auto"/>
        <w:rPr>
          <w:sz w:val="24"/>
          <w:szCs w:val="24"/>
        </w:rPr>
      </w:pPr>
      <w:r>
        <w:rPr>
          <w:sz w:val="24"/>
          <w:szCs w:val="24"/>
        </w:rPr>
        <w:t>NOME:</w:t>
      </w:r>
    </w:p>
    <w:p>
      <w:pPr>
        <w:overflowPunct w:val="0"/>
        <w:spacing w:before="0" w:after="200" w:line="276" w:lineRule="auto"/>
        <w:jc w:val="both"/>
        <w:textAlignment w:val="auto"/>
        <w:rPr>
          <w:sz w:val="24"/>
          <w:szCs w:val="24"/>
        </w:rPr>
      </w:pPr>
      <w:r>
        <w:rPr>
          <w:sz w:val="24"/>
          <w:szCs w:val="24"/>
        </w:rPr>
        <w:t>CPF Nº:</w:t>
      </w:r>
    </w:p>
    <w:p>
      <w:pPr>
        <w:overflowPunct w:val="0"/>
        <w:spacing w:before="0" w:after="200" w:line="276" w:lineRule="auto"/>
        <w:jc w:val="both"/>
        <w:textAlignment w:val="auto"/>
        <w:rPr>
          <w:sz w:val="24"/>
          <w:szCs w:val="24"/>
        </w:rPr>
      </w:pPr>
      <w:r>
        <w:rPr>
          <w:sz w:val="24"/>
          <w:szCs w:val="24"/>
        </w:rPr>
        <w:t>RG Nº:</w:t>
      </w:r>
    </w:p>
    <w:p>
      <w:pPr>
        <w:jc w:val="both"/>
        <w:rPr>
          <w:rFonts w:ascii="Verdana" w:hAnsi="Verdana" w:cs="Verdana"/>
          <w:b/>
          <w:sz w:val="16"/>
          <w:szCs w:val="16"/>
        </w:rPr>
      </w:pPr>
      <w:r>
        <w:rPr>
          <w:sz w:val="24"/>
          <w:szCs w:val="24"/>
        </w:rPr>
        <w:t>ENDEREÇO COMPLETO.</w:t>
      </w:r>
    </w:p>
    <w:p>
      <w:pPr>
        <w:rPr>
          <w:rFonts w:ascii="Verdana" w:hAnsi="Verdana" w:cs="Verdana"/>
          <w:sz w:val="24"/>
          <w:szCs w:val="24"/>
        </w:rPr>
      </w:pPr>
    </w:p>
    <w:sectPr>
      <w:pgSz w:w="11906" w:h="16838"/>
      <w:pgMar w:top="1537" w:right="909"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0"/>
    <w:family w:val="roman"/>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roman"/>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hint="default" w:ascii="Times New Roman" w:hAnsi="Times New Roman" w:cs="Times New Roman"/>
        <w:b/>
        <w:iCs/>
        <w:color w:val="0000FF"/>
        <w:sz w:val="20"/>
      </w:rPr>
    </w:pPr>
    <w:r>
      <w:rPr>
        <w:rFonts w:hint="default" w:ascii="Times New Roman" w:hAnsi="Times New Roman" w:cs="Times New Roman"/>
      </w:rPr>
      <mc:AlternateContent>
        <mc:Choice Requires="wps">
          <w:drawing>
            <wp:anchor distT="3175" distB="3175" distL="3175" distR="3175" simplePos="0" relativeHeight="251659264" behindDoc="1" locked="0" layoutInCell="0" allowOverlap="1">
              <wp:simplePos x="0" y="0"/>
              <wp:positionH relativeFrom="column">
                <wp:posOffset>14605</wp:posOffset>
              </wp:positionH>
              <wp:positionV relativeFrom="paragraph">
                <wp:posOffset>-6350</wp:posOffset>
              </wp:positionV>
              <wp:extent cx="5761355" cy="1270"/>
              <wp:effectExtent l="0" t="0" r="0" b="0"/>
              <wp:wrapNone/>
              <wp:docPr id="3" name="Figura1"/>
              <wp:cNvGraphicFramePr/>
              <a:graphic xmlns:a="http://schemas.openxmlformats.org/drawingml/2006/main">
                <a:graphicData uri="http://schemas.microsoft.com/office/word/2010/wordprocessingShape">
                  <wps:wsp>
                    <wps:cNvCnPr/>
                    <wps:spPr>
                      <a:xfrm flipV="1">
                        <a:off x="0" y="0"/>
                        <a:ext cx="576072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Figura1" o:spid="_x0000_s1026" o:spt="20" style="position:absolute;left:0pt;flip:y;margin-left:1.15pt;margin-top:-0.5pt;height:0.1pt;width:453.65pt;z-index:-251657216;mso-width-relative:page;mso-height-relative:page;" filled="f" stroked="t" coordsize="21600,21600" o:allowincell="f" o:gfxdata="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e9K8dMAAAAG&#10;AQAADwAAAAAAAAABACAAAAAiAAAAZHJzL2Rvd25yZXYueG1sUEsBAhQAFAAAAAgAh07iQOnIfPyv&#10;AQAAbAMAAA4AAAAAAAAAAQAgAAAAIgEAAGRycy9lMm9Eb2MueG1sUEsFBgAAAAAGAAYAWQEAAEMF&#10;AAAAAA==&#10;">
              <v:fill on="f" focussize="0,0"/>
              <v:stroke weight="0.510236220472441pt" color="#008000" joinstyle="miter"/>
              <v:imagedata o:title=""/>
              <o:lock v:ext="edit" aspectratio="f"/>
            </v:line>
          </w:pict>
        </mc:Fallback>
      </mc:AlternateContent>
    </w:r>
    <w:r>
      <w:rPr>
        <w:rFonts w:hint="default" w:ascii="Times New Roman" w:hAnsi="Times New Roman" w:cs="Times New Roman"/>
      </w:rPr>
      <mc:AlternateContent>
        <mc:Choice Requires="wps">
          <w:drawing>
            <wp:anchor distT="0" distB="0" distL="0" distR="0" simplePos="0" relativeHeight="251659264" behindDoc="1" locked="0" layoutInCell="0" allowOverlap="1">
              <wp:simplePos x="0" y="0"/>
              <wp:positionH relativeFrom="page">
                <wp:posOffset>3900170</wp:posOffset>
              </wp:positionH>
              <wp:positionV relativeFrom="paragraph">
                <wp:posOffset>220345</wp:posOffset>
              </wp:positionV>
              <wp:extent cx="149860" cy="180340"/>
              <wp:effectExtent l="0" t="0" r="0" b="0"/>
              <wp:wrapSquare wrapText="largest"/>
              <wp:docPr id="4" name="Quadro1"/>
              <wp:cNvGraphicFramePr/>
              <a:graphic xmlns:a="http://schemas.openxmlformats.org/drawingml/2006/main">
                <a:graphicData uri="http://schemas.microsoft.com/office/word/2010/wordprocessingShape">
                  <wps:wsp>
                    <wps:cNvSpPr/>
                    <wps:spPr>
                      <a:xfrm>
                        <a:off x="0" y="0"/>
                        <a:ext cx="149400" cy="179640"/>
                      </a:xfrm>
                      <a:prstGeom prst="rect">
                        <a:avLst/>
                      </a:prstGeom>
                      <a:noFill/>
                      <a:ln w="0">
                        <a:noFill/>
                      </a:ln>
                    </wps:spPr>
                    <wps:style>
                      <a:lnRef idx="0">
                        <a:srgbClr val="FFFFFF"/>
                      </a:lnRef>
                      <a:fillRef idx="0">
                        <a:srgbClr val="FFFFFF"/>
                      </a:fillRef>
                      <a:effectRef idx="0">
                        <a:srgbClr val="FFFFFF"/>
                      </a:effectRef>
                      <a:fontRef idx="minor"/>
                    </wps:style>
                    <wps:txbx>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45</w:t>
                          </w:r>
                          <w:r>
                            <w:rPr>
                              <w:rStyle w:val="207"/>
                              <w:sz w:val="16"/>
                            </w:rPr>
                            <w:fldChar w:fldCharType="end"/>
                          </w:r>
                        </w:p>
                      </w:txbxContent>
                    </wps:txbx>
                    <wps:bodyPr lIns="0" tIns="0" rIns="0" bIns="0" anchor="t">
                      <a:noAutofit/>
                    </wps:bodyPr>
                  </wps:wsp>
                </a:graphicData>
              </a:graphic>
            </wp:anchor>
          </w:drawing>
        </mc:Choice>
        <mc:Fallback>
          <w:pict>
            <v:rect id="Quadro1" o:spid="_x0000_s1026" o:spt="1" style="position:absolute;left:0pt;margin-left:307.1pt;margin-top:17.35pt;height:14.2pt;width:11.8pt;mso-position-horizontal-relative:page;mso-wrap-distance-bottom:0pt;mso-wrap-distance-left:0pt;mso-wrap-distance-right:0pt;mso-wrap-distance-top:0pt;z-index:-251657216;mso-width-relative:page;mso-height-relative:page;" filled="f" stroked="f" coordsize="21600,21600" o:allowincell="f" o:gfxdata="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WR&#10;CjHXAAAACQEAAA8AAAAAAAAAAQAgAAAAIgAAAGRycy9kb3ducmV2LnhtbFBLAQIUABQAAAAIAIdO&#10;4kCaJeLysgEAAIIDAAAOAAAAAAAAAAEAIAAAACYBAABkcnMvZTJvRG9jLnhtbFBLBQYAAAAABgAG&#10;AFkBAABKBQAAAAA=&#10;">
              <v:fill on="f" focussize="0,0"/>
              <v:stroke on="f" weight="0pt"/>
              <v:imagedata o:title=""/>
              <o:lock v:ext="edit" aspectratio="f"/>
              <v:textbox inset="0mm,0mm,0mm,0mm">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45</w:t>
                    </w:r>
                    <w:r>
                      <w:rPr>
                        <w:rStyle w:val="207"/>
                        <w:sz w:val="16"/>
                      </w:rPr>
                      <w:fldChar w:fldCharType="end"/>
                    </w:r>
                  </w:p>
                </w:txbxContent>
              </v:textbox>
              <w10:wrap type="square" side="largest"/>
            </v:rect>
          </w:pict>
        </mc:Fallback>
      </mc:AlternateContent>
    </w:r>
    <w:r>
      <w:rPr>
        <w:rFonts w:hint="default" w:ascii="Times New Roman" w:hAnsi="Times New Roman" w:cs="Times New Roman"/>
        <w:b/>
        <w:iCs/>
        <w:color w:val="0000FF"/>
        <w:sz w:val="20"/>
      </w:rPr>
      <w:t>Praça Prefeito Euclides Antônio Fabris, 343 – Telefax (0**67) 3409-1500 – Cep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1" locked="0" layoutInCell="0"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25" t="-28" r="-25" b="-28"/>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cs="David"/>
      </w:rPr>
    </w:pPr>
    <w:r>
      <w:rPr>
        <w:rFonts w:hint="default" w:ascii="Times New Roman" w:hAnsi="Times New Roman" w:cs="Times New Roman"/>
      </w:rPr>
      <mc:AlternateContent>
        <mc:Choice Requires="wps">
          <w:drawing>
            <wp:anchor distT="6350" distB="6350" distL="6350" distR="6350" simplePos="0" relativeHeight="251659264" behindDoc="1" locked="0" layoutInCell="0" allowOverlap="1">
              <wp:simplePos x="0" y="0"/>
              <wp:positionH relativeFrom="column">
                <wp:posOffset>-1143635</wp:posOffset>
              </wp:positionH>
              <wp:positionV relativeFrom="paragraph">
                <wp:posOffset>201930</wp:posOffset>
              </wp:positionV>
              <wp:extent cx="7561580" cy="1905"/>
              <wp:effectExtent l="0" t="0" r="0" b="0"/>
              <wp:wrapNone/>
              <wp:docPr id="2" name="Conector Reto 2"/>
              <wp:cNvGraphicFramePr/>
              <a:graphic xmlns:a="http://schemas.openxmlformats.org/drawingml/2006/main">
                <a:graphicData uri="http://schemas.microsoft.com/office/word/2010/wordprocessingShape">
                  <wps:wsp>
                    <wps:cNvCnPr/>
                    <wps:spPr>
                      <a:xfrm>
                        <a:off x="0" y="0"/>
                        <a:ext cx="7561080" cy="144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5pt;width:595.4pt;z-index:-251657216;mso-width-relative:page;mso-height-relative:page;" filled="f" stroked="t" coordsize="21600,21600" o:allowincell="f" o:gfxdata="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jzJe4&#10;2AAAAAsBAAAPAAAAAAAAAAEAIAAAACIAAABkcnMvZG93bnJldi54bWxQSwECFAAUAAAACACHTuJA&#10;9lMsiK8BAABs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rFonts w:hint="default"/>
        <w:b/>
        <w:iCs/>
        <w:color w:val="auto"/>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1">
    <w:nsid w:val="BF205925"/>
    <w:multiLevelType w:val="multilevel"/>
    <w:tmpl w:val="BF205925"/>
    <w:lvl w:ilvl="0" w:tentative="0">
      <w:start w:val="1"/>
      <w:numFmt w:val="lowerLetter"/>
      <w:lvlText w:val="%1)"/>
      <w:lvlJc w:val="left"/>
      <w:pPr>
        <w:tabs>
          <w:tab w:val="left" w:pos="1257"/>
        </w:tabs>
        <w:ind w:left="1257" w:hanging="69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CF092B84"/>
    <w:multiLevelType w:val="multilevel"/>
    <w:tmpl w:val="CF092B84"/>
    <w:lvl w:ilvl="0" w:tentative="0">
      <w:start w:val="1"/>
      <w:numFmt w:val="lowerLetter"/>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0053208E"/>
    <w:multiLevelType w:val="multilevel"/>
    <w:tmpl w:val="0053208E"/>
    <w:lvl w:ilvl="0" w:tentative="0">
      <w:start w:val="1"/>
      <w:numFmt w:val="none"/>
      <w:pStyle w:val="2"/>
      <w:suff w:val="nothing"/>
      <w:lvlText w:val=""/>
      <w:lvlJc w:val="left"/>
      <w:pPr>
        <w:tabs>
          <w:tab w:val="left" w:pos="0"/>
        </w:tabs>
        <w:ind w:left="0" w:firstLine="0"/>
      </w:pPr>
    </w:lvl>
    <w:lvl w:ilvl="1" w:tentative="0">
      <w:start w:val="1"/>
      <w:numFmt w:val="none"/>
      <w:pStyle w:val="3"/>
      <w:suff w:val="nothing"/>
      <w:lvlText w:val=""/>
      <w:lvlJc w:val="left"/>
      <w:pPr>
        <w:tabs>
          <w:tab w:val="left" w:pos="0"/>
        </w:tabs>
        <w:ind w:left="0" w:firstLine="0"/>
      </w:pPr>
    </w:lvl>
    <w:lvl w:ilvl="2" w:tentative="0">
      <w:start w:val="1"/>
      <w:numFmt w:val="none"/>
      <w:pStyle w:val="4"/>
      <w:suff w:val="nothing"/>
      <w:lvlText w:val=""/>
      <w:lvlJc w:val="left"/>
      <w:pPr>
        <w:tabs>
          <w:tab w:val="left" w:pos="0"/>
        </w:tabs>
        <w:ind w:left="0" w:firstLine="0"/>
      </w:pPr>
    </w:lvl>
    <w:lvl w:ilvl="3" w:tentative="0">
      <w:start w:val="1"/>
      <w:numFmt w:val="none"/>
      <w:pStyle w:val="5"/>
      <w:suff w:val="nothing"/>
      <w:lvlText w:val=""/>
      <w:lvlJc w:val="left"/>
      <w:pPr>
        <w:tabs>
          <w:tab w:val="left" w:pos="0"/>
        </w:tabs>
        <w:ind w:left="0" w:firstLine="0"/>
      </w:pPr>
    </w:lvl>
    <w:lvl w:ilvl="4" w:tentative="0">
      <w:start w:val="1"/>
      <w:numFmt w:val="none"/>
      <w:pStyle w:val="6"/>
      <w:suff w:val="nothing"/>
      <w:lvlText w:val=""/>
      <w:lvlJc w:val="left"/>
      <w:pPr>
        <w:tabs>
          <w:tab w:val="left" w:pos="0"/>
        </w:tabs>
        <w:ind w:left="0" w:firstLine="0"/>
      </w:pPr>
    </w:lvl>
    <w:lvl w:ilvl="5" w:tentative="0">
      <w:start w:val="1"/>
      <w:numFmt w:val="none"/>
      <w:pStyle w:val="7"/>
      <w:suff w:val="nothing"/>
      <w:lvlText w:val=""/>
      <w:lvlJc w:val="left"/>
      <w:pPr>
        <w:tabs>
          <w:tab w:val="left" w:pos="0"/>
        </w:tabs>
        <w:ind w:left="0" w:firstLine="0"/>
      </w:pPr>
    </w:lvl>
    <w:lvl w:ilvl="6" w:tentative="0">
      <w:start w:val="1"/>
      <w:numFmt w:val="none"/>
      <w:pStyle w:val="8"/>
      <w:suff w:val="nothing"/>
      <w:lvlText w:val=""/>
      <w:lvlJc w:val="left"/>
      <w:pPr>
        <w:tabs>
          <w:tab w:val="left" w:pos="0"/>
        </w:tabs>
        <w:ind w:left="0" w:firstLine="0"/>
      </w:pPr>
    </w:lvl>
    <w:lvl w:ilvl="7" w:tentative="0">
      <w:start w:val="1"/>
      <w:numFmt w:val="none"/>
      <w:pStyle w:val="9"/>
      <w:suff w:val="nothing"/>
      <w:lvlText w:val=""/>
      <w:lvlJc w:val="left"/>
      <w:pPr>
        <w:tabs>
          <w:tab w:val="left" w:pos="0"/>
        </w:tabs>
        <w:ind w:left="0" w:firstLine="0"/>
      </w:pPr>
    </w:lvl>
    <w:lvl w:ilvl="8" w:tentative="0">
      <w:start w:val="1"/>
      <w:numFmt w:val="none"/>
      <w:pStyle w:val="10"/>
      <w:suff w:val="nothing"/>
      <w:lvlText w:val=""/>
      <w:lvlJc w:val="left"/>
      <w:pPr>
        <w:tabs>
          <w:tab w:val="left" w:pos="0"/>
        </w:tabs>
        <w:ind w:left="0" w:firstLine="0"/>
      </w:pPr>
    </w:lvl>
  </w:abstractNum>
  <w:abstractNum w:abstractNumId="4">
    <w:nsid w:val="03D62ECE"/>
    <w:multiLevelType w:val="multilevel"/>
    <w:tmpl w:val="03D62ECE"/>
    <w:lvl w:ilvl="0" w:tentative="0">
      <w:start w:val="1"/>
      <w:numFmt w:val="upperRoman"/>
      <w:lvlText w:val="%1-"/>
      <w:lvlJc w:val="left"/>
      <w:pPr>
        <w:tabs>
          <w:tab w:val="left" w:pos="0"/>
        </w:tabs>
        <w:ind w:left="900" w:hanging="720"/>
      </w:pPr>
      <w:rPr>
        <w:bCs/>
        <w:iC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5">
    <w:nsid w:val="23287EEA"/>
    <w:multiLevelType w:val="multilevel"/>
    <w:tmpl w:val="23287EEA"/>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59ADCABA"/>
    <w:multiLevelType w:val="multilevel"/>
    <w:tmpl w:val="59ADCABA"/>
    <w:lvl w:ilvl="0" w:tentative="0">
      <w:start w:val="1"/>
      <w:numFmt w:val="lowerLetter"/>
      <w:lvlText w:val="%1)"/>
      <w:lvlJc w:val="left"/>
      <w:pPr>
        <w:tabs>
          <w:tab w:val="left" w:pos="720"/>
        </w:tabs>
        <w:ind w:left="720" w:hanging="360"/>
      </w:pPr>
      <w:rPr>
        <w:b/>
        <w:bCs/>
        <w:sz w:val="24"/>
        <w:szCs w:val="24"/>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num w:numId="1">
    <w:abstractNumId w:val="3"/>
  </w:num>
  <w:num w:numId="2">
    <w:abstractNumId w:val="2"/>
  </w:num>
  <w:num w:numId="3">
    <w:abstractNumId w:val="6"/>
  </w:num>
  <w:num w:numId="4">
    <w:abstractNumId w:val="1"/>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footnotePr>
    <w:footnote w:id="0"/>
    <w:footnote w:id="1"/>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F8155D"/>
    <w:rsid w:val="21D62A91"/>
  </w:rsids>
  <m:mathPr>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overflowPunct/>
      <w:bidi w:val="0"/>
      <w:spacing w:before="0" w:after="0"/>
      <w:jc w:val="left"/>
      <w:textAlignment w:val="baseline"/>
    </w:pPr>
    <w:rPr>
      <w:rFonts w:ascii="Times New Roman" w:hAnsi="Times New Roman" w:eastAsia="Times New Roman" w:cs="Times New Roman"/>
      <w:color w:val="auto"/>
      <w:kern w:val="0"/>
      <w:sz w:val="20"/>
      <w:szCs w:val="20"/>
      <w:lang w:val="pt-BR" w:eastAsia="zh-CN" w:bidi="ar-SA"/>
    </w:rPr>
  </w:style>
  <w:style w:type="paragraph" w:styleId="2">
    <w:name w:val="heading 1"/>
    <w:basedOn w:val="1"/>
    <w:next w:val="1"/>
    <w:qFormat/>
    <w:uiPriority w:val="0"/>
    <w:pPr>
      <w:keepNext/>
      <w:numPr>
        <w:ilvl w:val="0"/>
        <w:numId w:val="1"/>
      </w:numPr>
      <w:overflowPunct w:val="0"/>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val="0"/>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val="0"/>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val="0"/>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overflowPunct w:val="0"/>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val="0"/>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val="0"/>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val="0"/>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basedOn w:val="11"/>
    <w:semiHidden/>
    <w:unhideWhenUsed/>
    <w:qFormat/>
    <w:uiPriority w:val="99"/>
    <w:rPr>
      <w:color w:val="0000FF" w:themeColor="hyperlink"/>
      <w:u w:val="single"/>
    </w:rPr>
  </w:style>
  <w:style w:type="paragraph" w:styleId="14">
    <w:name w:val="List"/>
    <w:basedOn w:val="15"/>
    <w:uiPriority w:val="0"/>
    <w:rPr>
      <w:rFonts w:cs="Mangal"/>
    </w:rPr>
  </w:style>
  <w:style w:type="paragraph" w:styleId="15">
    <w:name w:val="Body Text"/>
    <w:basedOn w:val="1"/>
    <w:qFormat/>
    <w:uiPriority w:val="0"/>
    <w:pPr>
      <w:overflowPunct w:val="0"/>
      <w:jc w:val="both"/>
      <w:textAlignment w:val="auto"/>
    </w:pPr>
    <w:rPr>
      <w:sz w:val="24"/>
      <w:szCs w:val="24"/>
    </w:rPr>
  </w:style>
  <w:style w:type="paragraph" w:styleId="16">
    <w:name w:val="Block Text"/>
    <w:basedOn w:val="1"/>
    <w:qFormat/>
    <w:uiPriority w:val="0"/>
    <w:pPr>
      <w:overflowPunct w:val="0"/>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val="0"/>
      <w:ind w:left="0" w:right="-142" w:firstLine="0"/>
      <w:jc w:val="both"/>
      <w:textAlignment w:val="auto"/>
    </w:pPr>
    <w:rPr>
      <w:rFonts w:ascii="Arial" w:hAnsi="Arial" w:cs="Arial"/>
      <w:sz w:val="24"/>
      <w:szCs w:val="24"/>
    </w:rPr>
  </w:style>
  <w:style w:type="paragraph" w:styleId="19">
    <w:name w:val="Body Text 2"/>
    <w:basedOn w:val="1"/>
    <w:qFormat/>
    <w:uiPriority w:val="0"/>
    <w:pPr>
      <w:overflowPunct w:val="0"/>
      <w:jc w:val="both"/>
      <w:textAlignment w:val="auto"/>
    </w:pPr>
    <w:rPr>
      <w:rFonts w:ascii="Arial" w:hAnsi="Arial" w:cs="Arial"/>
      <w:i/>
    </w:rPr>
  </w:style>
  <w:style w:type="paragraph" w:styleId="20">
    <w:name w:val="header"/>
    <w:basedOn w:val="1"/>
    <w:uiPriority w:val="0"/>
    <w:pPr>
      <w:tabs>
        <w:tab w:val="center" w:pos="4419"/>
        <w:tab w:val="right" w:pos="8838"/>
      </w:tabs>
      <w:overflowPunct w:val="0"/>
      <w:textAlignment w:val="auto"/>
    </w:pPr>
    <w:rPr>
      <w:sz w:val="24"/>
      <w:szCs w:val="24"/>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val="0"/>
      <w:ind w:left="400" w:right="0" w:firstLine="0"/>
      <w:jc w:val="both"/>
      <w:textAlignment w:val="auto"/>
    </w:pPr>
    <w:rPr>
      <w:rFonts w:ascii="Arial" w:hAnsi="Arial" w:cs="Arial"/>
      <w:bCs/>
      <w:sz w:val="21"/>
    </w:rPr>
  </w:style>
  <w:style w:type="paragraph" w:styleId="24">
    <w:name w:val="Subtitle"/>
    <w:basedOn w:val="1"/>
    <w:next w:val="15"/>
    <w:qFormat/>
    <w:uiPriority w:val="0"/>
    <w:pPr>
      <w:overflowPunct w:val="0"/>
      <w:ind w:left="-142" w:right="-1" w:firstLine="0"/>
      <w:textAlignment w:val="auto"/>
    </w:pPr>
    <w:rPr>
      <w:b/>
      <w:sz w:val="23"/>
      <w:lang w:val="pt-BR"/>
    </w:rPr>
  </w:style>
  <w:style w:type="paragraph" w:styleId="25">
    <w:name w:val="Body Text Indent"/>
    <w:basedOn w:val="1"/>
    <w:qFormat/>
    <w:uiPriority w:val="0"/>
    <w:pPr>
      <w:overflowPunct w:val="0"/>
      <w:jc w:val="both"/>
      <w:textAlignment w:val="auto"/>
    </w:pPr>
    <w:rPr>
      <w:sz w:val="22"/>
    </w:r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qFormat/>
    <w:uiPriority w:val="0"/>
  </w:style>
  <w:style w:type="character" w:customStyle="1" w:styleId="208">
    <w:name w:val="Link da Internet"/>
    <w:qFormat/>
    <w:uiPriority w:val="0"/>
    <w:rPr>
      <w:color w:val="0000FF"/>
      <w:u w:val="single"/>
    </w:rPr>
  </w:style>
  <w:style w:type="character" w:customStyle="1" w:styleId="209">
    <w:name w:val="Link da internet visitado"/>
    <w:qFormat/>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5"/>
    <w:qFormat/>
    <w:uiPriority w:val="0"/>
    <w:pPr>
      <w:overflowPunct w:val="0"/>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val="0"/>
      <w:spacing w:before="100" w:after="100"/>
      <w:textAlignment w:val="auto"/>
    </w:pPr>
    <w:rPr>
      <w:sz w:val="24"/>
      <w:szCs w:val="24"/>
    </w:rPr>
  </w:style>
  <w:style w:type="paragraph" w:customStyle="1" w:styleId="237">
    <w:name w:val="msolistparagraph"/>
    <w:basedOn w:val="1"/>
    <w:qFormat/>
    <w:uiPriority w:val="0"/>
    <w:pPr>
      <w:overflowPunct w:val="0"/>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val="0"/>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val="0"/>
      <w:spacing w:before="100" w:after="100"/>
      <w:textAlignment w:val="auto"/>
    </w:pPr>
    <w:rPr>
      <w:sz w:val="24"/>
      <w:szCs w:val="24"/>
    </w:rPr>
  </w:style>
  <w:style w:type="paragraph" w:customStyle="1" w:styleId="241">
    <w:name w:val="msolistparagraphcxsplast"/>
    <w:basedOn w:val="1"/>
    <w:qFormat/>
    <w:uiPriority w:val="0"/>
    <w:pPr>
      <w:overflowPunct w:val="0"/>
      <w:spacing w:before="100" w:after="100"/>
      <w:textAlignment w:val="auto"/>
    </w:pPr>
    <w:rPr>
      <w:sz w:val="24"/>
      <w:szCs w:val="24"/>
    </w:rPr>
  </w:style>
  <w:style w:type="paragraph" w:customStyle="1" w:styleId="242">
    <w:name w:val="western"/>
    <w:basedOn w:val="1"/>
    <w:qFormat/>
    <w:uiPriority w:val="0"/>
    <w:pPr>
      <w:overflowPunct w:val="0"/>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45</Pages>
  <Words>15782</Words>
  <Characters>91323</Characters>
  <Paragraphs>917</Paragraphs>
  <TotalTime>13</TotalTime>
  <ScaleCrop>false</ScaleCrop>
  <LinksUpToDate>false</LinksUpToDate>
  <CharactersWithSpaces>106640</CharactersWithSpaces>
  <Application>WPS Office_11.2.0.10382_F1E327BC-269C-435d-A152-05C5408002CA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2021-11-22T11:49:53Z</cp:lastPrinted>
  <dcterms:modified xsi:type="dcterms:W3CDTF">2021-11-22T11:50:39Z</dcterms:modified>
  <dc:title>Convite nº Número da Modalidade/Ano do Processo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1046-11.2.0.10382</vt:lpwstr>
  </property>
  <property fmtid="{D5CDD505-2E9C-101B-9397-08002B2CF9AE}" pid="14" name="ICV">
    <vt:lpwstr>FE1EEE5A96954C11864F089C778BADFE</vt:lpwstr>
  </property>
</Properties>
</file>