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b/>
          <w:bCs/>
          <w:color w:val="000000"/>
          <w:sz w:val="24"/>
          <w:szCs w:val="24"/>
        </w:rPr>
        <w:t>EDITAL</w:t>
      </w:r>
    </w:p>
    <w:p>
      <w:pPr>
        <w:rPr>
          <w:b/>
          <w:bCs/>
          <w:color w:val="000000"/>
          <w:sz w:val="24"/>
          <w:szCs w:val="24"/>
        </w:rPr>
      </w:pPr>
    </w:p>
    <w:p>
      <w:pPr>
        <w:pStyle w:val="234"/>
      </w:pPr>
      <w:r>
        <w:rPr>
          <w:rFonts w:ascii="Times New Roman" w:hAnsi="Times New Roman" w:cs="Times New Roman"/>
          <w:sz w:val="24"/>
        </w:rPr>
        <w:t>PROCESSO LICITATÓRIO Nº. 246/2021</w:t>
      </w:r>
    </w:p>
    <w:p>
      <w:pPr>
        <w:jc w:val="center"/>
      </w:pPr>
      <w:r>
        <w:rPr>
          <w:b/>
          <w:bCs/>
          <w:sz w:val="24"/>
          <w:szCs w:val="24"/>
        </w:rPr>
        <w:t>PREGÃO PRESENCIAL N°. 139/2021</w:t>
      </w:r>
    </w:p>
    <w:p>
      <w:pPr>
        <w:rPr>
          <w:b/>
          <w:bCs/>
          <w:sz w:val="24"/>
          <w:szCs w:val="24"/>
        </w:rPr>
      </w:pPr>
    </w:p>
    <w:p>
      <w:pPr>
        <w:rPr>
          <w:b/>
          <w:sz w:val="24"/>
          <w:szCs w:val="24"/>
        </w:rPr>
      </w:pPr>
      <w:r>
        <w:rPr>
          <w:b/>
          <w:sz w:val="24"/>
          <w:szCs w:val="24"/>
        </w:rPr>
        <w:t>1 - PREÂMBULO:</w:t>
      </w:r>
    </w:p>
    <w:p>
      <w:pPr>
        <w:rPr>
          <w:b/>
          <w:sz w:val="24"/>
          <w:szCs w:val="24"/>
        </w:rPr>
      </w:pPr>
    </w:p>
    <w:p>
      <w:pPr>
        <w:pStyle w:val="244"/>
      </w:pPr>
      <w:r>
        <w:rPr>
          <w:b/>
        </w:rPr>
        <w:t>1.1 A ADMINISTRAÇÃO MUNICIPAL DE NAVIRAÍ - ESTADO DE MATO GROSSO DO SUL</w:t>
      </w:r>
      <w:r>
        <w:t xml:space="preserve">, sito na Praça Prefeito Euclides Antônio Fabris, nº 343, através do Sr. </w:t>
      </w:r>
      <w:r>
        <w:rPr>
          <w:b/>
          <w:bCs/>
          <w:color w:val="000000"/>
          <w:u w:val="single"/>
        </w:rPr>
        <w:t>Josemar Tomazelli</w:t>
      </w:r>
      <w:r>
        <w:rPr>
          <w:color w:val="000000"/>
        </w:rPr>
        <w:t>, Gerente de Finanças e Ordenador de Despesas conforme Decreto nº. 024/2021,</w:t>
      </w:r>
      <w:r>
        <w:t xml:space="preserve">torna público que a equipe de Pregoeiras instituída pelas Portarias nº. 388 389 390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6"/>
        <w:ind w:left="0" w:right="0"/>
        <w:rPr>
          <w:rFonts w:ascii="Times New Roman" w:hAnsi="Times New Roman" w:cs="Times New Roman"/>
          <w:sz w:val="24"/>
          <w:szCs w:val="24"/>
        </w:rPr>
      </w:pPr>
    </w:p>
    <w:p>
      <w:pPr>
        <w:pStyle w:val="26"/>
        <w:rPr>
          <w:rFonts w:hint="default"/>
          <w:lang w:val="pt-BR"/>
        </w:rPr>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08h00min</w:t>
      </w:r>
      <w:r>
        <w:rPr>
          <w:b/>
          <w:bCs/>
          <w:sz w:val="24"/>
          <w:szCs w:val="24"/>
        </w:rPr>
        <w:t xml:space="preserve"> do dia</w:t>
      </w:r>
      <w:r>
        <w:rPr>
          <w:rFonts w:hint="default"/>
          <w:b/>
          <w:bCs/>
          <w:sz w:val="24"/>
          <w:szCs w:val="24"/>
          <w:lang w:val="pt-BR"/>
        </w:rPr>
        <w:t xml:space="preserve"> 16 de dezembro de 2021.</w:t>
      </w:r>
    </w:p>
    <w:p>
      <w:pPr>
        <w:pStyle w:val="26"/>
        <w:rPr>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REGISTRO DE PREÇOS OBJETIVANDO A AQUISIÇÃO FUTURA DE REAGENTES E INSUMOS LABORATORIAIS COM MÁQUINAS EM COMODATO CONFORME TERMO DE REFERÊNCIA, PARA ATENDER DEMANDA DO LABORATÓRIO MUNICIPAL. SOLICITAÇÃO DA GERÊNCIA DE SAÚDE DO MUNICÍPIO DE NAVIRAÍ-MS. PEDIDO DE COMPRAS Nº 016/2021.</w:t>
      </w:r>
    </w:p>
    <w:p>
      <w:pPr>
        <w:jc w:val="both"/>
        <w:rPr>
          <w:b/>
          <w:sz w:val="24"/>
          <w:szCs w:val="24"/>
        </w:rPr>
      </w:pPr>
    </w:p>
    <w:p>
      <w:pPr>
        <w:pStyle w:val="16"/>
        <w:ind w:left="0" w:right="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xml:space="preserve">: </w:t>
      </w:r>
      <w:r>
        <w:rPr>
          <w:b/>
          <w:sz w:val="24"/>
          <w:szCs w:val="24"/>
          <w:lang w:val="pt-BR"/>
        </w:rPr>
        <w:t>16</w:t>
      </w:r>
      <w:r>
        <w:rPr>
          <w:b/>
          <w:sz w:val="24"/>
          <w:szCs w:val="24"/>
        </w:rPr>
        <w:t>/</w:t>
      </w:r>
      <w:r>
        <w:rPr>
          <w:b/>
          <w:sz w:val="24"/>
          <w:szCs w:val="24"/>
          <w:lang w:val="pt-BR"/>
        </w:rPr>
        <w:t>12</w:t>
      </w:r>
      <w:r>
        <w:rPr>
          <w:b/>
          <w:sz w:val="24"/>
          <w:szCs w:val="24"/>
        </w:rPr>
        <w:t>/2021</w:t>
      </w:r>
    </w:p>
    <w:p>
      <w:pPr>
        <w:jc w:val="both"/>
        <w:rPr>
          <w:rFonts w:hint="default"/>
          <w:lang w:val="pt-BR"/>
        </w:rPr>
      </w:pPr>
      <w:r>
        <w:rPr>
          <w:sz w:val="24"/>
          <w:szCs w:val="24"/>
        </w:rPr>
        <w:t xml:space="preserve">HORA: </w:t>
      </w:r>
      <w:r>
        <w:rPr>
          <w:b/>
          <w:bCs/>
          <w:sz w:val="24"/>
          <w:szCs w:val="24"/>
          <w:lang w:val="pt-BR"/>
        </w:rPr>
        <w:t>08h00min</w:t>
      </w:r>
    </w:p>
    <w:p>
      <w:pPr>
        <w:jc w:val="both"/>
        <w:rPr>
          <w:sz w:val="24"/>
          <w:szCs w:val="24"/>
        </w:rPr>
      </w:pPr>
      <w:r>
        <w:rPr>
          <w:sz w:val="24"/>
          <w:szCs w:val="24"/>
        </w:rPr>
        <w:t>LOCAL: Prefeitura Municipal de Naviraí - MS</w:t>
      </w:r>
    </w:p>
    <w:p>
      <w:pPr>
        <w:jc w:val="both"/>
        <w:rPr>
          <w:sz w:val="24"/>
          <w:szCs w:val="24"/>
        </w:rPr>
      </w:pPr>
      <w:r>
        <w:rPr>
          <w:sz w:val="24"/>
          <w:szCs w:val="24"/>
        </w:rPr>
        <w:t>Praça Prefeito Euclides Antônio Fabris, 343.</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eastAsia="Arial Unicode MS"/>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numPr>
          <w:ilvl w:val="0"/>
          <w:numId w:val="0"/>
        </w:numPr>
        <w:ind w:left="360" w:leftChars="0"/>
        <w:jc w:val="both"/>
        <w:textAlignment w:val="auto"/>
        <w:rPr>
          <w:sz w:val="24"/>
          <w:szCs w:val="24"/>
        </w:rPr>
      </w:pPr>
    </w:p>
    <w:p>
      <w:pPr>
        <w:pStyle w:val="241"/>
        <w:numPr>
          <w:ilvl w:val="1"/>
          <w:numId w:val="3"/>
        </w:numPr>
        <w:overflowPunct w:val="0"/>
        <w:autoSpaceDE w:val="0"/>
        <w:autoSpaceDN w:val="0"/>
        <w:adjustRightInd w:val="0"/>
        <w:spacing w:after="0" w:line="240" w:lineRule="auto"/>
        <w:jc w:val="both"/>
        <w:textAlignment w:val="baseline"/>
        <w:rPr>
          <w:sz w:val="24"/>
          <w:szCs w:val="24"/>
        </w:rPr>
      </w:pPr>
      <w:r>
        <w:rPr>
          <w:sz w:val="24"/>
          <w:szCs w:val="24"/>
        </w:rPr>
        <w:t xml:space="preserve">As empresas que deverão ter cadastro no TCE/MS, em conformidade com a Resolução 065/2017. </w:t>
      </w:r>
    </w:p>
    <w:p>
      <w:pPr>
        <w:overflowPunct w:val="0"/>
        <w:autoSpaceDE w:val="0"/>
        <w:autoSpaceDN w:val="0"/>
        <w:adjustRightInd w:val="0"/>
        <w:spacing w:after="0" w:line="240" w:lineRule="auto"/>
        <w:ind w:left="720"/>
        <w:jc w:val="both"/>
        <w:textAlignment w:val="baseline"/>
        <w:rPr>
          <w:rFonts w:eastAsia="Times New Roman"/>
          <w:sz w:val="24"/>
          <w:szCs w:val="24"/>
        </w:rPr>
      </w:pPr>
    </w:p>
    <w:p>
      <w:pPr>
        <w:overflowPunct w:val="0"/>
        <w:autoSpaceDE w:val="0"/>
        <w:autoSpaceDN w:val="0"/>
        <w:adjustRightInd w:val="0"/>
        <w:spacing w:after="0" w:line="240" w:lineRule="auto"/>
        <w:ind w:left="720"/>
        <w:jc w:val="both"/>
        <w:textAlignment w:val="baseline"/>
        <w:rPr>
          <w:rFonts w:eastAsia="Times New Roman"/>
        </w:rPr>
      </w:pPr>
      <w:r>
        <w:rPr>
          <w:rFonts w:eastAsia="Times New Roman"/>
          <w:b/>
          <w:sz w:val="24"/>
          <w:szCs w:val="24"/>
        </w:rPr>
        <w:t>4.3.1</w:t>
      </w:r>
      <w:r>
        <w:rPr>
          <w:rFonts w:eastAsia="Times New Roman"/>
          <w:sz w:val="24"/>
          <w:szCs w:val="24"/>
        </w:rPr>
        <w:t xml:space="preserve"> O cadastro deverá ser feito no endereço eletrônico</w:t>
      </w:r>
      <w:r>
        <w:rPr>
          <w:rFonts w:eastAsia="Times New Roman"/>
        </w:rPr>
        <w:t xml:space="preserve"> </w:t>
      </w:r>
      <w:r>
        <w:fldChar w:fldCharType="begin"/>
      </w:r>
      <w:r>
        <w:instrText xml:space="preserve"> HYPERLINK "https://ww4.tce.ms.gov.br/ecjur/Login/Login?ReturnUrl=%2f" \l "/cadastro/cpf" </w:instrText>
      </w:r>
      <w:r>
        <w:fldChar w:fldCharType="separate"/>
      </w:r>
      <w:r>
        <w:rPr>
          <w:rStyle w:val="13"/>
          <w:b/>
          <w:szCs w:val="24"/>
        </w:rPr>
        <w:t>https://ww4.tce.ms.gov.br/ecjur/Login/Login?ReturnUrl=%2f#/cadastro/cpf</w:t>
      </w:r>
      <w:r>
        <w:rPr>
          <w:rStyle w:val="13"/>
          <w:b/>
          <w:szCs w:val="24"/>
        </w:rPr>
        <w:fldChar w:fldCharType="end"/>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4"/>
        </w:numPr>
        <w:jc w:val="both"/>
      </w:pPr>
      <w:r>
        <w:rPr>
          <w:bCs/>
          <w:sz w:val="24"/>
          <w:szCs w:val="24"/>
        </w:rPr>
        <w:t xml:space="preserve">Declaração de Comprometimento de Habilitação </w:t>
      </w:r>
      <w:r>
        <w:rPr>
          <w:b/>
          <w:bCs/>
          <w:sz w:val="24"/>
          <w:szCs w:val="24"/>
        </w:rPr>
        <w:t>(ANEXO VII);</w:t>
      </w:r>
    </w:p>
    <w:p>
      <w:pPr>
        <w:ind w:left="720"/>
        <w:jc w:val="both"/>
        <w:rPr>
          <w:bCs/>
          <w:sz w:val="24"/>
          <w:szCs w:val="24"/>
        </w:rPr>
      </w:pPr>
    </w:p>
    <w:p>
      <w:pPr>
        <w:numPr>
          <w:ilvl w:val="0"/>
          <w:numId w:val="4"/>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jc w:val="both"/>
        <w:rPr>
          <w:bCs/>
          <w:sz w:val="24"/>
          <w:szCs w:val="24"/>
        </w:rPr>
      </w:pPr>
    </w:p>
    <w:p>
      <w:pPr>
        <w:numPr>
          <w:ilvl w:val="0"/>
          <w:numId w:val="4"/>
        </w:numPr>
        <w:jc w:val="both"/>
        <w:rPr>
          <w:color w:val="000000"/>
          <w:sz w:val="24"/>
          <w:szCs w:val="24"/>
        </w:rPr>
      </w:pPr>
      <w:r>
        <w:rPr>
          <w:color w:val="000000"/>
          <w:sz w:val="24"/>
          <w:szCs w:val="24"/>
        </w:rPr>
        <w:t>Cópia autenticada da seguinte documentação, conforme o caso:</w:t>
      </w:r>
    </w:p>
    <w:p>
      <w:pPr>
        <w:ind w:left="720"/>
        <w:jc w:val="both"/>
        <w:rPr>
          <w:color w:val="000000"/>
          <w:sz w:val="24"/>
          <w:szCs w:val="24"/>
        </w:rPr>
      </w:pPr>
    </w:p>
    <w:p>
      <w:pPr>
        <w:ind w:left="80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jc w:val="both"/>
        <w:rPr>
          <w:sz w:val="24"/>
          <w:szCs w:val="24"/>
        </w:rPr>
      </w:pPr>
    </w:p>
    <w:p>
      <w:pPr>
        <w:ind w:left="80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jc w:val="both"/>
        <w:rPr>
          <w:sz w:val="24"/>
          <w:szCs w:val="24"/>
        </w:rPr>
      </w:pPr>
    </w:p>
    <w:p>
      <w:pPr>
        <w:ind w:left="80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jc w:val="both"/>
        <w:rPr>
          <w:sz w:val="24"/>
          <w:szCs w:val="24"/>
        </w:rPr>
      </w:pPr>
    </w:p>
    <w:p>
      <w:pPr>
        <w:ind w:left="80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jc w:val="both"/>
        <w:rPr>
          <w:bCs/>
          <w:sz w:val="24"/>
          <w:szCs w:val="24"/>
        </w:rPr>
      </w:pPr>
    </w:p>
    <w:p>
      <w:pPr>
        <w:ind w:left="40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4"/>
        <w:ind w:left="998"/>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jc w:val="both"/>
        <w:rPr>
          <w:b/>
          <w:bCs/>
          <w:sz w:val="24"/>
          <w:szCs w:val="24"/>
        </w:rPr>
      </w:pPr>
    </w:p>
    <w:p>
      <w:pPr>
        <w:ind w:left="100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jc w:val="both"/>
        <w:outlineLvl w:val="2"/>
      </w:pPr>
      <w:r>
        <w:rPr>
          <w:b/>
          <w:sz w:val="24"/>
          <w:szCs w:val="24"/>
          <w:lang w:eastAsia="pt-BR"/>
        </w:rPr>
        <w:t>PREGÃO PRESENCIAL Nº 139/2021</w:t>
      </w:r>
      <w:r>
        <w:rPr>
          <w:rFonts w:eastAsia="Arial Unicode MS"/>
          <w:b/>
          <w:sz w:val="24"/>
          <w:szCs w:val="24"/>
          <w:lang w:eastAsia="pt-BR"/>
        </w:rPr>
        <w:t xml:space="preserve"> </w:t>
      </w:r>
    </w:p>
    <w:p>
      <w:pPr>
        <w:jc w:val="both"/>
      </w:pPr>
      <w:r>
        <w:rPr>
          <w:b/>
          <w:sz w:val="24"/>
          <w:szCs w:val="24"/>
        </w:rPr>
        <w:t xml:space="preserve">DATA DE ABERTURA: </w:t>
      </w:r>
      <w:r>
        <w:rPr>
          <w:b/>
          <w:sz w:val="24"/>
          <w:szCs w:val="24"/>
          <w:u w:val="single"/>
          <w:lang w:val="pt-BR"/>
        </w:rPr>
        <w:t>16</w:t>
      </w:r>
      <w:r>
        <w:rPr>
          <w:b/>
          <w:sz w:val="24"/>
          <w:szCs w:val="24"/>
          <w:u w:val="single"/>
        </w:rPr>
        <w:t>/</w:t>
      </w:r>
      <w:r>
        <w:rPr>
          <w:b/>
          <w:sz w:val="24"/>
          <w:szCs w:val="24"/>
          <w:u w:val="single"/>
          <w:lang w:val="pt-BR"/>
        </w:rPr>
        <w:t>12</w:t>
      </w:r>
      <w:r>
        <w:rPr>
          <w:b/>
          <w:sz w:val="24"/>
          <w:szCs w:val="24"/>
          <w:u w:val="single"/>
        </w:rPr>
        <w:t xml:space="preserve">/2021 </w:t>
      </w:r>
    </w:p>
    <w:p>
      <w:pPr>
        <w:keepNext/>
        <w:jc w:val="both"/>
        <w:outlineLvl w:val="3"/>
      </w:pPr>
      <w:r>
        <w:rPr>
          <w:b/>
          <w:sz w:val="24"/>
          <w:szCs w:val="24"/>
          <w:lang w:eastAsia="pt-BR"/>
        </w:rPr>
        <w:t>HORÁRIO: 08h00min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tabs>
          <w:tab w:val="left" w:pos="0"/>
        </w:tabs>
        <w:jc w:val="both"/>
        <w:outlineLvl w:val="4"/>
      </w:pPr>
      <w:r>
        <w:rPr>
          <w:b/>
          <w:sz w:val="24"/>
          <w:szCs w:val="24"/>
          <w:lang w:eastAsia="pt-BR"/>
        </w:rPr>
        <w:t>PREGÃO PRESENCIAL Nº 139/</w:t>
      </w:r>
      <w:r>
        <w:rPr>
          <w:rFonts w:eastAsia="Arial Unicode MS"/>
          <w:b/>
          <w:sz w:val="24"/>
          <w:szCs w:val="24"/>
          <w:lang w:eastAsia="pt-BR"/>
        </w:rPr>
        <w:t>2021</w:t>
      </w:r>
    </w:p>
    <w:p>
      <w:pPr>
        <w:tabs>
          <w:tab w:val="left" w:pos="0"/>
          <w:tab w:val="left" w:pos="2268"/>
          <w:tab w:val="left" w:pos="2552"/>
          <w:tab w:val="left" w:pos="2835"/>
        </w:tabs>
        <w:jc w:val="both"/>
      </w:pPr>
      <w:r>
        <w:rPr>
          <w:b/>
          <w:sz w:val="24"/>
          <w:szCs w:val="24"/>
        </w:rPr>
        <w:t xml:space="preserve">DATA DE ABERTURA: </w:t>
      </w:r>
      <w:r>
        <w:rPr>
          <w:b/>
          <w:sz w:val="24"/>
          <w:szCs w:val="24"/>
          <w:u w:val="single"/>
          <w:lang w:val="pt-BR"/>
        </w:rPr>
        <w:t>16</w:t>
      </w:r>
      <w:r>
        <w:rPr>
          <w:b/>
          <w:sz w:val="24"/>
          <w:szCs w:val="24"/>
          <w:u w:val="single"/>
        </w:rPr>
        <w:t>/</w:t>
      </w:r>
      <w:r>
        <w:rPr>
          <w:b/>
          <w:sz w:val="24"/>
          <w:szCs w:val="24"/>
          <w:u w:val="single"/>
          <w:lang w:val="pt-BR"/>
        </w:rPr>
        <w:t>12</w:t>
      </w:r>
      <w:r>
        <w:rPr>
          <w:b/>
          <w:sz w:val="24"/>
          <w:szCs w:val="24"/>
          <w:u w:val="single"/>
        </w:rPr>
        <w:t>/2021</w:t>
      </w:r>
    </w:p>
    <w:p>
      <w:pPr>
        <w:tabs>
          <w:tab w:val="left" w:pos="2835"/>
        </w:tabs>
        <w:jc w:val="both"/>
        <w:rPr>
          <w:rFonts w:hint="default"/>
          <w:lang w:val="pt-BR"/>
        </w:rPr>
      </w:pPr>
      <w:r>
        <w:rPr>
          <w:b/>
          <w:sz w:val="24"/>
          <w:szCs w:val="24"/>
        </w:rPr>
        <w:t xml:space="preserve">HORÁRIO: </w:t>
      </w:r>
      <w:r>
        <w:rPr>
          <w:b/>
          <w:sz w:val="24"/>
          <w:szCs w:val="24"/>
          <w:lang w:val="pt-BR"/>
        </w:rPr>
        <w:t>08h00min</w:t>
      </w:r>
    </w:p>
    <w:p>
      <w:pPr>
        <w:tabs>
          <w:tab w:val="left" w:pos="2835"/>
        </w:tabs>
        <w:jc w:val="both"/>
        <w:rPr>
          <w:b/>
          <w:sz w:val="24"/>
          <w:szCs w:val="24"/>
        </w:rPr>
      </w:pPr>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pPr>
        <w:jc w:val="both"/>
        <w:rPr>
          <w:rFonts w:eastAsia="Arial Unicode MS"/>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jc w:val="both"/>
        <w:rPr>
          <w:sz w:val="24"/>
          <w:szCs w:val="24"/>
        </w:rPr>
      </w:pPr>
    </w:p>
    <w:p>
      <w:pPr>
        <w:ind w:left="284"/>
        <w:jc w:val="both"/>
      </w:pPr>
      <w:r>
        <w:rPr>
          <w:b/>
          <w:sz w:val="24"/>
          <w:szCs w:val="24"/>
        </w:rPr>
        <w:t xml:space="preserve">II- </w:t>
      </w:r>
      <w:r>
        <w:rPr>
          <w:sz w:val="24"/>
          <w:szCs w:val="24"/>
        </w:rPr>
        <w:t>Descrição das características do produto deverá atender ao disposto nos Anexos I e II, informando a marca;</w:t>
      </w:r>
    </w:p>
    <w:p>
      <w:pPr>
        <w:ind w:left="284"/>
        <w:jc w:val="both"/>
        <w:rPr>
          <w:sz w:val="24"/>
          <w:szCs w:val="24"/>
        </w:rPr>
      </w:pPr>
    </w:p>
    <w:p>
      <w:pPr>
        <w:ind w:left="284"/>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jc w:val="both"/>
        <w:rPr>
          <w:sz w:val="24"/>
          <w:szCs w:val="24"/>
        </w:rPr>
      </w:pPr>
    </w:p>
    <w:p>
      <w:pPr>
        <w:ind w:left="284"/>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pStyle w:val="239"/>
        <w:ind w:left="0"/>
      </w:pPr>
      <w:r>
        <w:rPr>
          <w:b/>
          <w:sz w:val="22"/>
        </w:rPr>
        <w:t>7.11</w:t>
      </w:r>
      <w:r>
        <w:rPr>
          <w:sz w:val="22"/>
        </w:rPr>
        <w:t xml:space="preserve"> - As propostas que eventualmente apresentarem erro de digitação de valores unitários, não serão desclassificada.</w:t>
      </w:r>
    </w:p>
    <w:p>
      <w:pPr>
        <w:autoSpaceDN w:val="0"/>
        <w:adjustRightInd w:val="0"/>
        <w:jc w:val="both"/>
        <w:rPr>
          <w:bCs/>
          <w:sz w:val="24"/>
          <w:szCs w:val="24"/>
        </w:rPr>
      </w:pPr>
      <w:r>
        <w:rPr>
          <w:b/>
          <w:bCs/>
          <w:sz w:val="24"/>
          <w:szCs w:val="24"/>
        </w:rPr>
        <w:t>7.11.1</w:t>
      </w:r>
      <w:r>
        <w:rPr>
          <w:bCs/>
          <w:sz w:val="24"/>
          <w:szCs w:val="24"/>
        </w:rPr>
        <w:t xml:space="preserve"> Ao final da etapa de lances a licitante vencedora deverá fazer a adequação dos preços unitários de cada item para que o somatório seja igual ao preço final adjudicado.</w:t>
      </w:r>
    </w:p>
    <w:p>
      <w:pPr>
        <w:jc w:val="both"/>
        <w:rPr>
          <w:bCs/>
          <w:sz w:val="24"/>
          <w:szCs w:val="24"/>
        </w:rPr>
      </w:pPr>
    </w:p>
    <w:p>
      <w:pPr>
        <w:jc w:val="both"/>
        <w:rPr>
          <w:bCs/>
          <w:sz w:val="24"/>
          <w:szCs w:val="24"/>
        </w:rPr>
      </w:pPr>
      <w:r>
        <w:rPr>
          <w:b/>
          <w:bCs/>
          <w:sz w:val="24"/>
          <w:szCs w:val="24"/>
        </w:rPr>
        <w:t>7.11.1.1</w:t>
      </w:r>
      <w:r>
        <w:rPr>
          <w:bCs/>
          <w:sz w:val="24"/>
          <w:szCs w:val="24"/>
        </w:rPr>
        <w:t xml:space="preserve"> O valor do item 001 deverá ser diluído de forma proporcional (%) entre e equivalente, ao desconto ofertado para o lote na fase de lance.</w:t>
      </w:r>
    </w:p>
    <w:p>
      <w:pPr>
        <w:jc w:val="both"/>
        <w:rPr>
          <w:sz w:val="24"/>
          <w:szCs w:val="24"/>
        </w:rPr>
      </w:pPr>
    </w:p>
    <w:p>
      <w:pPr>
        <w:pStyle w:val="239"/>
        <w:tabs>
          <w:tab w:val="left" w:pos="709"/>
        </w:tabs>
        <w:ind w:left="0"/>
        <w:jc w:val="both"/>
        <w:textAlignment w:val="baseline"/>
        <w:rPr>
          <w:b/>
          <w:bCs/>
          <w:sz w:val="24"/>
          <w:szCs w:val="24"/>
        </w:rPr>
      </w:pPr>
      <w:r>
        <w:rPr>
          <w:b/>
          <w:bCs/>
          <w:sz w:val="24"/>
          <w:szCs w:val="24"/>
        </w:rPr>
        <w:t>7.12 DO VALOR ESTIMADO</w:t>
      </w:r>
    </w:p>
    <w:p>
      <w:pPr>
        <w:tabs>
          <w:tab w:val="left" w:pos="709"/>
        </w:tabs>
        <w:ind w:firstLine="6"/>
        <w:jc w:val="both"/>
        <w:rPr>
          <w:b/>
          <w:bCs/>
          <w:sz w:val="24"/>
          <w:szCs w:val="24"/>
        </w:rPr>
      </w:pPr>
    </w:p>
    <w:p>
      <w:pPr>
        <w:pStyle w:val="239"/>
        <w:tabs>
          <w:tab w:val="left" w:pos="0"/>
        </w:tabs>
        <w:ind w:left="0"/>
        <w:jc w:val="both"/>
      </w:pPr>
      <w:r>
        <w:rPr>
          <w:b/>
          <w:iCs/>
          <w:sz w:val="24"/>
          <w:szCs w:val="24"/>
        </w:rPr>
        <w:t>7.12.1</w:t>
      </w:r>
      <w:r>
        <w:rPr>
          <w:iCs/>
          <w:sz w:val="24"/>
          <w:szCs w:val="24"/>
        </w:rPr>
        <w:t xml:space="preserve"> O valor total estimado para a aquisição dos itens referente ao objeto deste Edital, é de </w:t>
      </w:r>
      <w:r>
        <w:rPr>
          <w:b/>
          <w:bCs/>
          <w:iCs/>
          <w:sz w:val="24"/>
          <w:szCs w:val="24"/>
        </w:rPr>
        <w:t>R$ 1.1</w:t>
      </w:r>
      <w:r>
        <w:rPr>
          <w:b/>
          <w:bCs/>
          <w:iCs/>
          <w:sz w:val="24"/>
          <w:szCs w:val="24"/>
          <w:lang w:val="pt-BR"/>
        </w:rPr>
        <w:t>36.715,00</w:t>
      </w:r>
      <w:r>
        <w:rPr>
          <w:b/>
          <w:bCs/>
          <w:iCs/>
          <w:sz w:val="24"/>
          <w:szCs w:val="24"/>
        </w:rPr>
        <w:t xml:space="preserve"> (um milhão, cento e </w:t>
      </w:r>
      <w:r>
        <w:rPr>
          <w:b/>
          <w:bCs/>
          <w:iCs/>
          <w:sz w:val="24"/>
          <w:szCs w:val="24"/>
          <w:lang w:val="pt-BR"/>
        </w:rPr>
        <w:t>trinta e seis mil setecentos e quinze reais</w:t>
      </w:r>
      <w:r>
        <w:rPr>
          <w:b/>
          <w:bCs/>
          <w:iCs/>
          <w:sz w:val="24"/>
          <w:szCs w:val="24"/>
        </w:rPr>
        <w:t>).</w:t>
      </w:r>
    </w:p>
    <w:p>
      <w:pPr>
        <w:pStyle w:val="239"/>
        <w:tabs>
          <w:tab w:val="left" w:pos="709"/>
        </w:tabs>
        <w:ind w:left="0" w:firstLine="6"/>
        <w:jc w:val="both"/>
        <w:rPr>
          <w:b/>
          <w:iCs/>
          <w:sz w:val="24"/>
          <w:szCs w:val="24"/>
        </w:rPr>
      </w:pPr>
    </w:p>
    <w:p>
      <w:pPr>
        <w:shd w:val="clear" w:color="auto" w:fill="D9D9D9"/>
        <w:tabs>
          <w:tab w:val="left" w:pos="709"/>
        </w:tabs>
        <w:overflowPunct/>
        <w:autoSpaceDE/>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contextualSpacing/>
        <w:jc w:val="both"/>
        <w:rPr>
          <w:iCs/>
          <w:sz w:val="24"/>
          <w:szCs w:val="24"/>
          <w:lang w:eastAsia="pt-BR"/>
        </w:rPr>
      </w:pPr>
    </w:p>
    <w:p>
      <w:pPr>
        <w:tabs>
          <w:tab w:val="left" w:pos="709"/>
        </w:tabs>
        <w:contextualSpacing/>
        <w:jc w:val="both"/>
      </w:pPr>
      <w:r>
        <w:rPr>
          <w:iCs/>
          <w:sz w:val="24"/>
          <w:szCs w:val="24"/>
          <w:lang w:eastAsia="pt-BR"/>
        </w:rPr>
        <w:t xml:space="preserve">7.12.2 No entanto, caso o licitante queira conhecer os valores de cada item constante no edital, o mesmo deverá se dirigir até o Núcleo de Licitações e Contratos, </w:t>
      </w:r>
      <w:r>
        <w:rPr>
          <w:sz w:val="24"/>
          <w:szCs w:val="24"/>
          <w:lang w:eastAsia="pt-BR"/>
        </w:rPr>
        <w:t>situado na Praça Prefeito Euclides Antônio Fabris nº 343 - Centro, no horário das 07h: 00min às 11h: 00min das 13h: 00min as 17h:00min (horário local), munido de Requerimento, solicitando Vistas ao Processo.</w:t>
      </w:r>
    </w:p>
    <w:p>
      <w:pPr>
        <w:tabs>
          <w:tab w:val="left" w:pos="709"/>
        </w:tabs>
        <w:contextualSpacing/>
        <w:jc w:val="both"/>
        <w:rPr>
          <w:sz w:val="24"/>
          <w:szCs w:val="24"/>
          <w:lang w:eastAsia="pt-BR"/>
        </w:rPr>
      </w:pPr>
    </w:p>
    <w:p>
      <w:pPr>
        <w:tabs>
          <w:tab w:val="left" w:pos="709"/>
        </w:tabs>
        <w:contextualSpacing/>
        <w:jc w:val="both"/>
      </w:pPr>
      <w:r>
        <w:rPr>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right="-142"/>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Prova de inscrição do Cadastro Nacional de Pessoa Jurídica (CNPJ),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b/>
          <w:bCs/>
          <w:sz w:val="24"/>
          <w:szCs w:val="24"/>
        </w:rPr>
      </w:pPr>
    </w:p>
    <w:p>
      <w:pPr>
        <w:jc w:val="both"/>
      </w:pPr>
      <w:r>
        <w:rPr>
          <w:b/>
          <w:bCs/>
          <w:sz w:val="24"/>
          <w:szCs w:val="24"/>
        </w:rPr>
        <w:t>8.2.3</w:t>
      </w:r>
      <w:r>
        <w:rPr>
          <w:sz w:val="24"/>
          <w:szCs w:val="24"/>
        </w:rPr>
        <w:t xml:space="preserve"> Prova de regularidade para com a Fazenda Estadual por meio da apresentação de Certidão Negativa ou Positiva com efeito de Negativa;</w:t>
      </w:r>
    </w:p>
    <w:p>
      <w:pPr>
        <w:jc w:val="both"/>
        <w:rPr>
          <w:sz w:val="24"/>
          <w:szCs w:val="24"/>
        </w:rPr>
      </w:pPr>
    </w:p>
    <w:p>
      <w:pPr>
        <w:jc w:val="both"/>
      </w:pPr>
      <w:r>
        <w:rPr>
          <w:b/>
          <w:bCs/>
          <w:sz w:val="24"/>
          <w:szCs w:val="24"/>
        </w:rPr>
        <w:t xml:space="preserve">8.2.4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4"/>
          <w:szCs w:val="24"/>
        </w:rPr>
      </w:pPr>
    </w:p>
    <w:p>
      <w:pPr>
        <w:jc w:val="both"/>
      </w:pPr>
      <w:r>
        <w:rPr>
          <w:b/>
          <w:bCs/>
          <w:sz w:val="24"/>
          <w:szCs w:val="24"/>
        </w:rPr>
        <w:t xml:space="preserve">8.2.5 </w:t>
      </w:r>
      <w:r>
        <w:rPr>
          <w:bCs/>
          <w:sz w:val="24"/>
          <w:szCs w:val="24"/>
        </w:rPr>
        <w:t>Certificado de Regularidade do FGTS (CRF), emitido pelo órgão competente, da localidade de domicílio ou sede da empresa proponente, na forma da Lei</w:t>
      </w:r>
      <w:r>
        <w:rPr>
          <w:sz w:val="24"/>
          <w:szCs w:val="24"/>
        </w:rPr>
        <w:t>.</w:t>
      </w:r>
    </w:p>
    <w:p>
      <w:pPr>
        <w:jc w:val="both"/>
        <w:rPr>
          <w:sz w:val="24"/>
          <w:szCs w:val="24"/>
        </w:rPr>
      </w:pPr>
    </w:p>
    <w:p>
      <w:pPr>
        <w:ind w:right="-142"/>
        <w:jc w:val="both"/>
      </w:pPr>
      <w:r>
        <w:rPr>
          <w:b/>
          <w:bCs/>
          <w:sz w:val="24"/>
          <w:szCs w:val="24"/>
        </w:rPr>
        <w:t>8.2.6</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right="-142"/>
        <w:jc w:val="both"/>
        <w:rPr>
          <w:sz w:val="24"/>
          <w:szCs w:val="24"/>
        </w:rPr>
      </w:pPr>
    </w:p>
    <w:p>
      <w:pPr>
        <w:ind w:right="-142"/>
        <w:jc w:val="both"/>
      </w:pPr>
      <w:r>
        <w:rPr>
          <w:b/>
          <w:bCs/>
          <w:sz w:val="24"/>
          <w:szCs w:val="24"/>
        </w:rPr>
        <w:t>8.2.7</w:t>
      </w:r>
      <w:r>
        <w:rPr>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right="-142"/>
        <w:jc w:val="both"/>
        <w:rPr>
          <w:b/>
          <w:bCs/>
          <w:sz w:val="24"/>
          <w:szCs w:val="24"/>
          <w:lang w:eastAsia="pt-BR"/>
        </w:rPr>
      </w:pPr>
    </w:p>
    <w:p>
      <w:r>
        <w:rPr>
          <w:b/>
          <w:bCs/>
          <w:sz w:val="24"/>
          <w:szCs w:val="24"/>
          <w:lang w:eastAsia="pt-BR"/>
        </w:rPr>
        <w:t>8.2.8</w:t>
      </w:r>
      <w:r>
        <w:rPr>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ind w:right="-142"/>
        <w:jc w:val="both"/>
        <w:rPr>
          <w:b/>
          <w:bCs/>
          <w:sz w:val="24"/>
          <w:szCs w:val="24"/>
          <w:lang w:eastAsia="pt-BR"/>
        </w:rPr>
      </w:pPr>
    </w:p>
    <w:p>
      <w:pPr>
        <w:ind w:right="-142"/>
        <w:jc w:val="both"/>
      </w:pPr>
      <w:r>
        <w:rPr>
          <w:b/>
          <w:bCs/>
          <w:sz w:val="24"/>
          <w:szCs w:val="24"/>
        </w:rPr>
        <w:t>8.2.9</w:t>
      </w:r>
      <w:r>
        <w:rPr>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ind w:right="-142"/>
        <w:jc w:val="both"/>
        <w:rPr>
          <w:sz w:val="24"/>
          <w:szCs w:val="24"/>
        </w:rPr>
      </w:pPr>
    </w:p>
    <w:p>
      <w:pPr>
        <w:ind w:right="-142"/>
        <w:jc w:val="both"/>
      </w:pPr>
      <w:r>
        <w:rPr>
          <w:b/>
          <w:sz w:val="24"/>
          <w:szCs w:val="24"/>
        </w:rPr>
        <w:t>8.2.10</w:t>
      </w:r>
      <w:r>
        <w:rPr>
          <w:sz w:val="24"/>
          <w:szCs w:val="24"/>
        </w:rPr>
        <w:t xml:space="preserve"> Declaração conhecimento e aceitação do teor do edital,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5"/>
      </w:pPr>
      <w:r>
        <w:rPr>
          <w:b/>
          <w:bCs/>
        </w:rPr>
        <w:t>9.2.11</w:t>
      </w:r>
      <w:r>
        <w:t xml:space="preserve"> Caso não se efetive nenhum lance verbal, será verificado a compatibilidade entre a proposta escrita de menor preço e o valor estimado para a contratação.</w:t>
      </w:r>
    </w:p>
    <w:p>
      <w:pPr>
        <w:pStyle w:val="15"/>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5"/>
        <w:rPr>
          <w:b/>
          <w:bCs/>
        </w:rPr>
      </w:pPr>
      <w:r>
        <w:rPr>
          <w:b/>
          <w:bCs/>
        </w:rPr>
        <w:t>9.3 DO TRATAMENTO DIFERENCIADO E FAVORECIDO ÀS MICRO EMPRESAS E EMPRESAS DE PEQUENO PORTE SEGUNDO A LEI COMPLEMENTAR 123/06</w:t>
      </w:r>
    </w:p>
    <w:p>
      <w:pPr>
        <w:pStyle w:val="15"/>
        <w:rPr>
          <w:b/>
          <w:bCs/>
        </w:rPr>
      </w:pPr>
    </w:p>
    <w:p>
      <w:pPr>
        <w:pStyle w:val="15"/>
      </w:pPr>
      <w:r>
        <w:rPr>
          <w:b/>
          <w:bCs/>
        </w:rPr>
        <w:t xml:space="preserve">9.3.1 – </w:t>
      </w:r>
      <w:r>
        <w:t>Em caso de participação de licitante que detenha a condição de micro empresa ou de empresa de pequeno porte nos termos da Lei 123/06, serão observado o seguinte:</w:t>
      </w:r>
    </w:p>
    <w:p>
      <w:pPr>
        <w:pStyle w:val="15"/>
      </w:pPr>
    </w:p>
    <w:p>
      <w:pPr>
        <w:numPr>
          <w:ilvl w:val="0"/>
          <w:numId w:val="5"/>
        </w:numPr>
        <w:ind w:left="426"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hanging="426"/>
        <w:jc w:val="both"/>
        <w:textAlignment w:val="auto"/>
        <w:rPr>
          <w:iCs/>
          <w:sz w:val="24"/>
          <w:szCs w:val="24"/>
        </w:rPr>
      </w:pPr>
    </w:p>
    <w:p>
      <w:pPr>
        <w:numPr>
          <w:ilvl w:val="0"/>
          <w:numId w:val="5"/>
        </w:numPr>
        <w:ind w:left="426"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hanging="426"/>
        <w:jc w:val="both"/>
        <w:textAlignment w:val="auto"/>
        <w:rPr>
          <w:iCs/>
          <w:sz w:val="24"/>
          <w:szCs w:val="24"/>
        </w:rPr>
      </w:pPr>
    </w:p>
    <w:p>
      <w:pPr>
        <w:numPr>
          <w:ilvl w:val="0"/>
          <w:numId w:val="5"/>
        </w:numPr>
        <w:ind w:left="426"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hanging="426"/>
        <w:jc w:val="both"/>
        <w:textAlignment w:val="auto"/>
        <w:rPr>
          <w:iCs/>
          <w:sz w:val="24"/>
          <w:szCs w:val="24"/>
        </w:rPr>
      </w:pPr>
    </w:p>
    <w:p>
      <w:pPr>
        <w:numPr>
          <w:ilvl w:val="0"/>
          <w:numId w:val="5"/>
        </w:numPr>
        <w:ind w:left="426"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hanging="426"/>
        <w:jc w:val="both"/>
        <w:textAlignment w:val="auto"/>
        <w:rPr>
          <w:iCs/>
          <w:sz w:val="24"/>
          <w:szCs w:val="24"/>
        </w:rPr>
      </w:pPr>
    </w:p>
    <w:p>
      <w:pPr>
        <w:numPr>
          <w:ilvl w:val="0"/>
          <w:numId w:val="5"/>
        </w:numPr>
        <w:ind w:left="426"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jc w:val="both"/>
      </w:pPr>
      <w:r>
        <w:rPr>
          <w:b/>
          <w:bCs/>
          <w:sz w:val="24"/>
          <w:szCs w:val="24"/>
        </w:rPr>
        <w:t>10.4</w:t>
      </w:r>
      <w:r>
        <w:rPr>
          <w:sz w:val="24"/>
          <w:szCs w:val="24"/>
        </w:rPr>
        <w:t xml:space="preserve"> Os autos do processo administrativo permanecerão com vista franqueada aos interessados na Prefeitura municipal de Naviraí - MS, sito na Praça Prefeito Euclides Antonio Fabris nº 343 CEP 79950-000 Naviraí – MS, </w:t>
      </w:r>
      <w:r>
        <w:rPr>
          <w:sz w:val="24"/>
          <w:szCs w:val="24"/>
          <w:lang w:eastAsia="pt-BR"/>
        </w:rPr>
        <w:t>no horário das 7h às 11h das 13h às 17h(horário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5"/>
        <w:ind w:right="-241"/>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right="-241"/>
        <w:jc w:val="both"/>
        <w:rPr>
          <w:sz w:val="24"/>
          <w:szCs w:val="24"/>
        </w:rPr>
      </w:pPr>
    </w:p>
    <w:p>
      <w:pPr>
        <w:ind w:right="-241"/>
        <w:jc w:val="both"/>
        <w:rPr>
          <w:sz w:val="24"/>
          <w:szCs w:val="24"/>
        </w:rPr>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w:t>
      </w:r>
      <w:r>
        <w:rPr>
          <w:rFonts w:hint="default"/>
          <w:sz w:val="24"/>
          <w:szCs w:val="24"/>
          <w:u w:val="single"/>
          <w:lang w:val="pt-BR"/>
        </w:rPr>
        <w:t>6</w:t>
      </w:r>
      <w:r>
        <w:rPr>
          <w:sz w:val="24"/>
          <w:szCs w:val="24"/>
          <w:u w:val="single"/>
        </w:rPr>
        <w:t xml:space="preserve"> (</w:t>
      </w:r>
      <w:r>
        <w:rPr>
          <w:rFonts w:hint="default"/>
          <w:sz w:val="24"/>
          <w:szCs w:val="24"/>
          <w:u w:val="single"/>
          <w:lang w:val="pt-BR"/>
        </w:rPr>
        <w:t>seis</w:t>
      </w:r>
      <w:r>
        <w:rPr>
          <w:sz w:val="24"/>
          <w:szCs w:val="24"/>
          <w:u w:val="single"/>
        </w:rPr>
        <w:t>) dias úteis</w:t>
      </w:r>
      <w:r>
        <w:rPr>
          <w:sz w:val="24"/>
          <w:szCs w:val="24"/>
        </w:rPr>
        <w:t>, contados a partir da publicação, para assinatura do referido documento.</w:t>
      </w:r>
    </w:p>
    <w:p>
      <w:pPr>
        <w:ind w:right="-241"/>
        <w:jc w:val="both"/>
        <w:rPr>
          <w:sz w:val="24"/>
          <w:szCs w:val="24"/>
        </w:rPr>
      </w:pPr>
    </w:p>
    <w:p>
      <w:pPr>
        <w:suppressAutoHyphens w:val="0"/>
        <w:autoSpaceDN w:val="0"/>
        <w:adjustRightInd w:val="0"/>
        <w:jc w:val="both"/>
        <w:rPr>
          <w:sz w:val="24"/>
          <w:szCs w:val="24"/>
        </w:rPr>
      </w:pPr>
      <w:r>
        <w:rPr>
          <w:b/>
          <w:sz w:val="24"/>
          <w:szCs w:val="24"/>
          <w:u w:val="single"/>
        </w:rPr>
        <w:t>11.2.1</w:t>
      </w:r>
      <w:r>
        <w:rPr>
          <w:sz w:val="24"/>
          <w:szCs w:val="24"/>
        </w:rPr>
        <w:t xml:space="preserve"> A (s) empresa (s) para assinatura de Ata de Registro de Preço deverá apresentar os seguintes documentos </w:t>
      </w:r>
    </w:p>
    <w:p>
      <w:pPr>
        <w:suppressAutoHyphens w:val="0"/>
        <w:autoSpaceDN w:val="0"/>
        <w:adjustRightInd w:val="0"/>
        <w:jc w:val="both"/>
        <w:rPr>
          <w:sz w:val="24"/>
          <w:szCs w:val="24"/>
        </w:rPr>
      </w:pPr>
    </w:p>
    <w:p>
      <w:pPr>
        <w:pStyle w:val="241"/>
        <w:numPr>
          <w:ilvl w:val="0"/>
          <w:numId w:val="6"/>
        </w:numPr>
        <w:suppressAutoHyphens w:val="0"/>
        <w:autoSpaceDN w:val="0"/>
        <w:adjustRightInd w:val="0"/>
        <w:jc w:val="both"/>
        <w:rPr>
          <w:sz w:val="21"/>
          <w:szCs w:val="21"/>
          <w:highlight w:val="yellow"/>
          <w:lang w:eastAsia="pt-BR"/>
        </w:rPr>
      </w:pPr>
      <w:r>
        <w:rPr>
          <w:sz w:val="21"/>
          <w:szCs w:val="21"/>
          <w:highlight w:val="yellow"/>
          <w:lang w:eastAsia="pt-BR"/>
        </w:rPr>
        <w:t>Alvará de licença sanitária, expedido pela unidade competente, da esfera Estadual ou Municipal, da sede da empresa licitante, observada a sua validade;</w:t>
      </w:r>
    </w:p>
    <w:p>
      <w:pPr>
        <w:autoSpaceDN w:val="0"/>
        <w:adjustRightInd w:val="0"/>
        <w:ind w:left="1418"/>
        <w:rPr>
          <w:sz w:val="18"/>
          <w:szCs w:val="18"/>
          <w:highlight w:val="yellow"/>
          <w:lang w:eastAsia="pt-BR"/>
        </w:rPr>
      </w:pPr>
    </w:p>
    <w:p>
      <w:pPr>
        <w:numPr>
          <w:ilvl w:val="0"/>
          <w:numId w:val="6"/>
        </w:numPr>
        <w:suppressAutoHyphens w:val="0"/>
        <w:autoSpaceDN w:val="0"/>
        <w:adjustRightInd w:val="0"/>
        <w:jc w:val="both"/>
        <w:rPr>
          <w:sz w:val="21"/>
          <w:szCs w:val="21"/>
          <w:highlight w:val="yellow"/>
          <w:lang w:eastAsia="pt-BR"/>
        </w:rPr>
      </w:pPr>
      <w:r>
        <w:rPr>
          <w:sz w:val="21"/>
          <w:szCs w:val="21"/>
          <w:highlight w:val="yellow"/>
          <w:lang w:eastAsia="pt-BR"/>
        </w:rPr>
        <w:t xml:space="preserve">Autorização para Funcionamento da Empresa (AFE), expedida pela Agencia Nacional de Vigilância Sanitária do Ministério da Saúde (forma eletrônica ou certificado), compatível com o objeto licitado, acompanhado de </w:t>
      </w:r>
      <w:r>
        <w:rPr>
          <w:sz w:val="21"/>
          <w:szCs w:val="21"/>
          <w:highlight w:val="yellow"/>
          <w:u w:val="single"/>
          <w:lang w:eastAsia="pt-BR"/>
        </w:rPr>
        <w:t>sua publicação no Diário Oficial da União, observada a sua validade</w:t>
      </w:r>
      <w:r>
        <w:rPr>
          <w:sz w:val="21"/>
          <w:szCs w:val="21"/>
          <w:highlight w:val="yellow"/>
          <w:lang w:eastAsia="pt-BR"/>
        </w:rPr>
        <w:t xml:space="preserve">; No caso da licitante ser fabricante </w:t>
      </w:r>
      <w:r>
        <w:rPr>
          <w:sz w:val="21"/>
          <w:szCs w:val="21"/>
          <w:highlight w:val="yellow"/>
          <w:u w:val="single"/>
          <w:lang w:eastAsia="pt-BR"/>
        </w:rPr>
        <w:t>está dispensado à apresentação da publicação,</w:t>
      </w:r>
      <w:r>
        <w:rPr>
          <w:sz w:val="21"/>
          <w:szCs w:val="21"/>
          <w:highlight w:val="yellow"/>
          <w:lang w:eastAsia="pt-BR"/>
        </w:rPr>
        <w:t xml:space="preserve"> sendo necessária apresentação do documento na (forma eletrônica ou certificado) Para as renovações deverá ser observando a Resolução ANVISA/DC Nº 16 de 01/04/2014;</w:t>
      </w:r>
    </w:p>
    <w:p>
      <w:pPr>
        <w:ind w:right="-241"/>
        <w:jc w:val="both"/>
      </w:pPr>
    </w:p>
    <w:p>
      <w:pPr>
        <w:ind w:right="-241"/>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right="-241"/>
        <w:jc w:val="both"/>
        <w:rPr>
          <w:sz w:val="24"/>
          <w:szCs w:val="24"/>
        </w:rPr>
      </w:pPr>
    </w:p>
    <w:p>
      <w:pPr>
        <w:ind w:right="-241"/>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right="-241"/>
        <w:jc w:val="both"/>
        <w:rPr>
          <w:sz w:val="24"/>
          <w:szCs w:val="24"/>
        </w:rPr>
      </w:pPr>
    </w:p>
    <w:p>
      <w:pPr>
        <w:ind w:right="-241"/>
        <w:jc w:val="both"/>
      </w:pPr>
      <w:r>
        <w:rPr>
          <w:b/>
          <w:bCs/>
          <w:sz w:val="24"/>
          <w:szCs w:val="24"/>
        </w:rPr>
        <w:t xml:space="preserve">11.4.1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right="-241"/>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jc w:val="both"/>
      </w:pPr>
      <w:r>
        <w:rPr>
          <w:b/>
          <w:bCs/>
          <w:sz w:val="24"/>
          <w:szCs w:val="24"/>
          <w:lang w:eastAsia="pt-BR"/>
        </w:rPr>
        <w:t xml:space="preserve">I) </w:t>
      </w:r>
      <w:r>
        <w:rPr>
          <w:sz w:val="24"/>
          <w:szCs w:val="24"/>
          <w:lang w:eastAsia="pt-BR"/>
        </w:rPr>
        <w:t>Por iniciativa da Administração:</w:t>
      </w:r>
    </w:p>
    <w:p>
      <w:pPr>
        <w:ind w:left="300"/>
        <w:jc w:val="both"/>
        <w:rPr>
          <w:sz w:val="24"/>
          <w:szCs w:val="24"/>
          <w:lang w:eastAsia="pt-BR"/>
        </w:rPr>
      </w:pPr>
    </w:p>
    <w:p>
      <w:pPr>
        <w:ind w:left="60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jc w:val="both"/>
        <w:rPr>
          <w:sz w:val="24"/>
          <w:szCs w:val="24"/>
          <w:lang w:eastAsia="pt-BR"/>
        </w:rPr>
      </w:pPr>
    </w:p>
    <w:p>
      <w:pPr>
        <w:ind w:left="600"/>
        <w:jc w:val="both"/>
        <w:rPr>
          <w:sz w:val="24"/>
          <w:szCs w:val="24"/>
          <w:lang w:eastAsia="pt-BR"/>
        </w:rPr>
      </w:pPr>
      <w:r>
        <w:rPr>
          <w:sz w:val="24"/>
          <w:szCs w:val="24"/>
          <w:lang w:eastAsia="pt-BR"/>
        </w:rPr>
        <w:t>b) se os preços registrados estiverem superiores aos praticados no mercado.</w:t>
      </w:r>
    </w:p>
    <w:p>
      <w:pPr>
        <w:ind w:left="300"/>
        <w:jc w:val="both"/>
        <w:rPr>
          <w:b/>
          <w:bCs/>
          <w:sz w:val="24"/>
          <w:szCs w:val="24"/>
          <w:lang w:eastAsia="pt-BR"/>
        </w:rPr>
      </w:pPr>
    </w:p>
    <w:p>
      <w:pPr>
        <w:ind w:left="300"/>
        <w:jc w:val="both"/>
      </w:pPr>
      <w:r>
        <w:rPr>
          <w:b/>
          <w:bCs/>
          <w:sz w:val="24"/>
          <w:szCs w:val="24"/>
          <w:lang w:eastAsia="pt-BR"/>
        </w:rPr>
        <w:t xml:space="preserve">II) </w:t>
      </w:r>
      <w:r>
        <w:rPr>
          <w:sz w:val="24"/>
          <w:szCs w:val="24"/>
          <w:lang w:eastAsia="pt-BR"/>
        </w:rPr>
        <w:t>Por iniciativa do fornecedor:</w:t>
      </w:r>
    </w:p>
    <w:p>
      <w:pPr>
        <w:ind w:left="300"/>
        <w:jc w:val="both"/>
        <w:rPr>
          <w:sz w:val="24"/>
          <w:szCs w:val="24"/>
          <w:lang w:eastAsia="pt-BR"/>
        </w:rPr>
      </w:pPr>
    </w:p>
    <w:p>
      <w:pPr>
        <w:ind w:left="567"/>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jc w:val="both"/>
        <w:rPr>
          <w:sz w:val="24"/>
          <w:szCs w:val="24"/>
          <w:lang w:eastAsia="pt-BR"/>
        </w:rPr>
      </w:pPr>
    </w:p>
    <w:p>
      <w:pPr>
        <w:ind w:left="567"/>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 xml:space="preserve">Para efeito deste registro considera-se Ordem de Compras, aquela solicitação em que o quantitativo deverá ser entregue em sua totalidade em </w:t>
      </w:r>
      <w:r>
        <w:rPr>
          <w:sz w:val="24"/>
          <w:szCs w:val="24"/>
          <w:highlight w:val="yellow"/>
        </w:rPr>
        <w:t>até 15 (quinze) dias úteis</w:t>
      </w:r>
      <w:r>
        <w:rPr>
          <w:sz w:val="24"/>
          <w:szCs w:val="24"/>
        </w:rPr>
        <w:t>.</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DO FORNECIMENTO:</w:t>
      </w:r>
    </w:p>
    <w:p>
      <w:pPr>
        <w:rPr>
          <w:b/>
          <w:bCs/>
          <w:i/>
          <w:color w:val="000000"/>
          <w:sz w:val="24"/>
          <w:szCs w:val="24"/>
          <w:lang w:eastAsia="pt-BR"/>
        </w:rPr>
      </w:pPr>
    </w:p>
    <w:p>
      <w:pPr>
        <w:jc w:val="both"/>
      </w:pPr>
      <w:r>
        <w:rPr>
          <w:b/>
          <w:bCs/>
          <w:sz w:val="24"/>
          <w:szCs w:val="24"/>
        </w:rPr>
        <w:t>14.1</w:t>
      </w:r>
      <w:r>
        <w:rPr>
          <w:sz w:val="24"/>
          <w:szCs w:val="24"/>
        </w:rPr>
        <w:t xml:space="preserve"> – Os itens licitados serão solicitados conforme a necessidade da Gerência, e deverão ser entregues no </w:t>
      </w:r>
      <w:r>
        <w:rPr>
          <w:sz w:val="24"/>
          <w:szCs w:val="24"/>
          <w:highlight w:val="yellow"/>
        </w:rPr>
        <w:t>Local indicado na Ordem de compra/serviço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15.4.2</w:t>
      </w:r>
      <w:r>
        <w:rPr>
          <w:sz w:val="24"/>
          <w:szCs w:val="24"/>
        </w:rPr>
        <w:t xml:space="preserve"> Prova de regularidade para com a Fazenda Estadual por meio da apresentação de Certidão Negativa ou Positiva com efeito de Negativa;</w:t>
      </w:r>
    </w:p>
    <w:p>
      <w:pPr>
        <w:ind w:left="709" w:right="-96" w:hanging="709"/>
        <w:jc w:val="both"/>
        <w:rPr>
          <w:sz w:val="24"/>
          <w:szCs w:val="24"/>
        </w:rPr>
      </w:pPr>
    </w:p>
    <w:p>
      <w:pPr>
        <w:ind w:left="709" w:right="-96" w:hanging="709"/>
        <w:jc w:val="both"/>
      </w:pPr>
      <w:r>
        <w:rPr>
          <w:b/>
          <w:bCs/>
          <w:sz w:val="24"/>
          <w:szCs w:val="24"/>
        </w:rPr>
        <w:t xml:space="preserve">15.4.3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 xml:space="preserve">15.4.4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10"/>
          <w:sz w:val="24"/>
          <w:szCs w:val="24"/>
        </w:rPr>
        <w:t>www.tst.jus.br/certidão</w:t>
      </w:r>
      <w:r>
        <w:rPr>
          <w:rStyle w:val="210"/>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9"/>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9"/>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jc w:val="both"/>
        <w:rPr>
          <w:sz w:val="24"/>
          <w:szCs w:val="24"/>
        </w:rPr>
      </w:pPr>
    </w:p>
    <w:p>
      <w:pPr>
        <w:ind w:left="360"/>
        <w:jc w:val="both"/>
      </w:pPr>
      <w:r>
        <w:rPr>
          <w:b/>
          <w:bCs/>
          <w:sz w:val="24"/>
          <w:szCs w:val="24"/>
        </w:rPr>
        <w:t>I</w:t>
      </w:r>
      <w:r>
        <w:rPr>
          <w:sz w:val="24"/>
          <w:szCs w:val="24"/>
        </w:rPr>
        <w:t xml:space="preserve"> entregar com pontualidade os materiais solicitados;</w:t>
      </w:r>
    </w:p>
    <w:p>
      <w:pPr>
        <w:ind w:left="360"/>
        <w:jc w:val="both"/>
        <w:rPr>
          <w:sz w:val="24"/>
          <w:szCs w:val="24"/>
        </w:rPr>
      </w:pPr>
    </w:p>
    <w:p>
      <w:pPr>
        <w:ind w:left="36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jc w:val="both"/>
        <w:rPr>
          <w:color w:val="FF0000"/>
          <w:sz w:val="24"/>
          <w:szCs w:val="24"/>
        </w:rPr>
      </w:pPr>
    </w:p>
    <w:p>
      <w:pPr>
        <w:ind w:left="36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jc w:val="both"/>
        <w:rPr>
          <w:sz w:val="24"/>
          <w:szCs w:val="24"/>
        </w:rPr>
      </w:pPr>
    </w:p>
    <w:p>
      <w:pPr>
        <w:ind w:left="36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jc w:val="both"/>
      </w:pPr>
      <w:r>
        <w:rPr>
          <w:b/>
          <w:bCs/>
          <w:sz w:val="24"/>
          <w:szCs w:val="24"/>
        </w:rPr>
        <w:t xml:space="preserve">I </w:t>
      </w:r>
      <w:r>
        <w:rPr>
          <w:sz w:val="24"/>
          <w:szCs w:val="24"/>
        </w:rPr>
        <w:t>Cumprir todos os compromissos financeiros assumidos com a CONTRATADA;</w:t>
      </w:r>
    </w:p>
    <w:p>
      <w:pPr>
        <w:tabs>
          <w:tab w:val="left" w:pos="360"/>
        </w:tabs>
        <w:ind w:left="360"/>
        <w:jc w:val="both"/>
        <w:rPr>
          <w:sz w:val="24"/>
          <w:szCs w:val="24"/>
        </w:rPr>
      </w:pPr>
    </w:p>
    <w:p>
      <w:pPr>
        <w:tabs>
          <w:tab w:val="left" w:pos="360"/>
        </w:tabs>
        <w:ind w:left="36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jc w:val="both"/>
        <w:rPr>
          <w:sz w:val="24"/>
          <w:szCs w:val="24"/>
        </w:rPr>
      </w:pPr>
    </w:p>
    <w:p>
      <w:pPr>
        <w:tabs>
          <w:tab w:val="left" w:pos="360"/>
        </w:tabs>
        <w:ind w:left="36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jc w:val="both"/>
        <w:rPr>
          <w:sz w:val="24"/>
          <w:szCs w:val="24"/>
        </w:rPr>
      </w:pPr>
    </w:p>
    <w:p>
      <w:pPr>
        <w:ind w:left="36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5"/>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5"/>
        <w:ind w:left="360"/>
        <w:rPr>
          <w:bCs/>
        </w:rPr>
      </w:pPr>
    </w:p>
    <w:p>
      <w:pPr>
        <w:pStyle w:val="15"/>
        <w:ind w:left="360"/>
        <w:rPr>
          <w:bCs/>
        </w:rPr>
      </w:pPr>
      <w:r>
        <w:rPr>
          <w:bCs/>
        </w:rPr>
        <w:t xml:space="preserve">I - advertência; </w:t>
      </w:r>
    </w:p>
    <w:p>
      <w:pPr>
        <w:pStyle w:val="15"/>
        <w:ind w:left="360"/>
        <w:rPr>
          <w:bCs/>
        </w:rPr>
      </w:pPr>
    </w:p>
    <w:p>
      <w:pPr>
        <w:pStyle w:val="15"/>
        <w:ind w:left="360"/>
      </w:pPr>
      <w:r>
        <w:rPr>
          <w:bCs/>
        </w:rPr>
        <w:t xml:space="preserve">II - multa de </w:t>
      </w:r>
      <w:r>
        <w:rPr>
          <w:b/>
        </w:rPr>
        <w:t>10% (dez por cento</w:t>
      </w:r>
      <w:r>
        <w:rPr>
          <w:bCs/>
        </w:rPr>
        <w:t>) do valor do contrato</w:t>
      </w:r>
      <w:r>
        <w:rPr>
          <w:b/>
        </w:rPr>
        <w:t>,</w:t>
      </w:r>
    </w:p>
    <w:p>
      <w:pPr>
        <w:pStyle w:val="15"/>
        <w:ind w:left="360"/>
        <w:rPr>
          <w:b/>
        </w:rPr>
      </w:pPr>
    </w:p>
    <w:p>
      <w:pPr>
        <w:pStyle w:val="15"/>
        <w:ind w:left="36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5"/>
        <w:ind w:left="360"/>
        <w:rPr>
          <w:bCs/>
        </w:rPr>
      </w:pPr>
    </w:p>
    <w:p>
      <w:pPr>
        <w:pStyle w:val="15"/>
        <w:ind w:left="360"/>
        <w:rPr>
          <w:bCs/>
        </w:rPr>
      </w:pPr>
      <w:r>
        <w:rPr>
          <w:bCs/>
        </w:rPr>
        <w:t>IV - declaração de inidoneidade para licitar ou contratar com a Administração Pública.</w:t>
      </w:r>
    </w:p>
    <w:p>
      <w:pPr>
        <w:pStyle w:val="15"/>
        <w:rPr>
          <w:bCs/>
        </w:rPr>
      </w:pPr>
    </w:p>
    <w:p>
      <w:pPr>
        <w:pStyle w:val="15"/>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10"/>
          <w:rFonts w:ascii="Calibri" w:hAnsi="Calibri" w:cs="Calibri"/>
          <w:sz w:val="24"/>
        </w:rPr>
        <w:t>(licitacaonavirai@gmail.com)</w:t>
      </w:r>
      <w:r>
        <w:rPr>
          <w:rStyle w:val="210"/>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10"/>
          <w:sz w:val="24"/>
          <w:szCs w:val="24"/>
        </w:rPr>
        <w:t>www.navirai.ms.gov.br</w:t>
      </w:r>
      <w:r>
        <w:rPr>
          <w:rStyle w:val="210"/>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4"/>
          <w:szCs w:val="24"/>
        </w:rPr>
      </w:pPr>
    </w:p>
    <w:p>
      <w:pPr>
        <w:tabs>
          <w:tab w:val="left" w:pos="-1800"/>
        </w:tabs>
        <w:ind w:firstLine="2835"/>
        <w:rPr>
          <w:b/>
          <w:color w:val="000000"/>
          <w:sz w:val="24"/>
          <w:szCs w:val="24"/>
        </w:rPr>
      </w:pPr>
    </w:p>
    <w:p>
      <w:pPr>
        <w:tabs>
          <w:tab w:val="left" w:pos="-1800"/>
        </w:tabs>
        <w:jc w:val="both"/>
      </w:pPr>
      <w:r>
        <w:rPr>
          <w:sz w:val="24"/>
          <w:szCs w:val="24"/>
        </w:rPr>
        <w:t>Eu, Jaqueline Maria Garcia Mascioli,  Servidora Pública Municipal, digitei o presente edital com autorização do ordenador de despesas, e eu, Josemar Tomazelli, Gerente de Finanças conforme Decreto nº. 024/2021,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wordWrap w:val="0"/>
        <w:jc w:val="right"/>
      </w:pPr>
      <w:r>
        <w:rPr>
          <w:sz w:val="24"/>
          <w:szCs w:val="24"/>
        </w:rPr>
        <w:t xml:space="preserve">Naviraí - MS, </w:t>
      </w:r>
      <w:r>
        <w:rPr>
          <w:rFonts w:hint="default"/>
          <w:b/>
          <w:bCs/>
          <w:sz w:val="24"/>
          <w:szCs w:val="24"/>
          <w:lang w:val="pt-BR"/>
        </w:rPr>
        <w:t>29</w:t>
      </w:r>
      <w:bookmarkStart w:id="0" w:name="_GoBack"/>
      <w:bookmarkEnd w:id="0"/>
      <w:r>
        <w:rPr>
          <w:rFonts w:hint="default"/>
          <w:b/>
          <w:bCs/>
          <w:sz w:val="24"/>
          <w:szCs w:val="24"/>
          <w:lang w:val="pt-BR"/>
        </w:rPr>
        <w:t xml:space="preserve"> de novembro de 2021.</w:t>
      </w:r>
    </w:p>
    <w:p>
      <w:pPr>
        <w:tabs>
          <w:tab w:val="left" w:pos="-1800"/>
        </w:tabs>
        <w:ind w:left="284"/>
        <w:jc w:val="center"/>
        <w:rPr>
          <w:b/>
          <w:bCs/>
          <w:color w:val="000000"/>
          <w:sz w:val="24"/>
          <w:szCs w:val="24"/>
        </w:rPr>
      </w:pPr>
    </w:p>
    <w:p>
      <w:pPr>
        <w:tabs>
          <w:tab w:val="left" w:pos="-1800"/>
        </w:tabs>
        <w:ind w:left="284"/>
        <w:jc w:val="center"/>
        <w:rPr>
          <w:b/>
          <w:bCs/>
          <w:color w:val="000000"/>
          <w:sz w:val="24"/>
          <w:szCs w:val="24"/>
        </w:rPr>
      </w:pPr>
    </w:p>
    <w:p>
      <w:pPr>
        <w:tabs>
          <w:tab w:val="left" w:pos="-1800"/>
        </w:tabs>
        <w:jc w:val="center"/>
        <w:rPr>
          <w:b/>
          <w:bCs/>
          <w:color w:val="000000"/>
          <w:sz w:val="24"/>
          <w:szCs w:val="24"/>
        </w:rPr>
      </w:pPr>
      <w:r>
        <w:rPr>
          <w:b/>
          <w:bCs/>
          <w:color w:val="000000"/>
          <w:sz w:val="24"/>
          <w:szCs w:val="24"/>
        </w:rPr>
        <w:t>Josemar Tomazelli</w:t>
      </w:r>
    </w:p>
    <w:p>
      <w:pPr>
        <w:tabs>
          <w:tab w:val="left" w:pos="-1800"/>
        </w:tabs>
        <w:jc w:val="center"/>
        <w:rPr>
          <w:color w:val="000000"/>
          <w:sz w:val="24"/>
          <w:szCs w:val="24"/>
        </w:rPr>
      </w:pPr>
      <w:r>
        <w:rPr>
          <w:color w:val="000000"/>
          <w:sz w:val="24"/>
          <w:szCs w:val="24"/>
        </w:rPr>
        <w:t>Gerente de Finanças</w:t>
      </w:r>
    </w:p>
    <w:p>
      <w:pPr>
        <w:tabs>
          <w:tab w:val="left" w:pos="-1800"/>
        </w:tabs>
        <w:jc w:val="center"/>
        <w:rPr>
          <w:color w:val="000000"/>
          <w:sz w:val="24"/>
          <w:szCs w:val="24"/>
        </w:rPr>
      </w:pPr>
      <w:r>
        <w:rPr>
          <w:color w:val="000000"/>
          <w:sz w:val="24"/>
          <w:szCs w:val="24"/>
        </w:rPr>
        <w:t>Conforme Decreto 024/2021</w:t>
      </w:r>
    </w:p>
    <w:p>
      <w:pPr>
        <w:rPr>
          <w:sz w:val="24"/>
          <w:szCs w:val="24"/>
          <w:lang w:eastAsia="pt-BR"/>
        </w:rPr>
      </w:pPr>
    </w:p>
    <w:p>
      <w:pPr>
        <w:pStyle w:val="7"/>
        <w:ind w:hanging="851"/>
        <w:jc w:val="center"/>
        <w:rPr>
          <w:rFonts w:ascii="Times New Roman" w:hAnsi="Times New Roman" w:cs="Times New Roman"/>
          <w:b/>
          <w:bCs/>
          <w:i w:val="0"/>
          <w:szCs w:val="24"/>
        </w:rPr>
      </w:pPr>
    </w:p>
    <w:p>
      <w:pPr>
        <w:pStyle w:val="7"/>
        <w:ind w:hanging="851"/>
        <w:jc w:val="center"/>
        <w:rPr>
          <w:rFonts w:ascii="Times New Roman" w:hAnsi="Times New Roman" w:cs="Times New Roman"/>
          <w:b/>
          <w:bCs/>
          <w:i w:val="0"/>
          <w:szCs w:val="24"/>
        </w:rPr>
      </w:pPr>
    </w:p>
    <w:p>
      <w:pPr>
        <w:rPr>
          <w:rFonts w:ascii="Times New Roman" w:hAnsi="Times New Roman" w:cs="Times New Roman"/>
          <w:b/>
          <w:bCs/>
          <w:i w:val="0"/>
          <w:szCs w:val="24"/>
        </w:rPr>
      </w:pPr>
    </w:p>
    <w:p>
      <w:pPr>
        <w:rPr>
          <w:rFonts w:ascii="Times New Roman" w:hAnsi="Times New Roman" w:cs="Times New Roman"/>
          <w:b/>
          <w:bCs/>
          <w:i w:val="0"/>
          <w:szCs w:val="24"/>
        </w:rPr>
      </w:pPr>
    </w:p>
    <w:p>
      <w:pPr>
        <w:rPr>
          <w:rFonts w:ascii="Times New Roman" w:hAnsi="Times New Roman" w:cs="Times New Roman"/>
          <w:b/>
          <w:bCs/>
          <w:i w:val="0"/>
          <w:szCs w:val="24"/>
        </w:rPr>
      </w:pPr>
    </w:p>
    <w:p>
      <w:pPr>
        <w:rPr>
          <w:rFonts w:ascii="Times New Roman" w:hAnsi="Times New Roman" w:cs="Times New Roman"/>
          <w:b/>
          <w:bCs/>
          <w:i w:val="0"/>
          <w:szCs w:val="24"/>
        </w:rPr>
      </w:pPr>
    </w:p>
    <w:p>
      <w:pPr>
        <w:rPr>
          <w:rFonts w:ascii="Times New Roman" w:hAnsi="Times New Roman" w:cs="Times New Roman"/>
          <w:b/>
          <w:bCs/>
          <w:i w:val="0"/>
          <w:szCs w:val="24"/>
        </w:rPr>
      </w:pPr>
    </w:p>
    <w:p>
      <w:pPr>
        <w:rPr>
          <w:rFonts w:ascii="Times New Roman" w:hAnsi="Times New Roman" w:cs="Times New Roman"/>
          <w:b/>
          <w:bCs/>
          <w:i w:val="0"/>
          <w:szCs w:val="24"/>
        </w:rPr>
      </w:pPr>
    </w:p>
    <w:p>
      <w:pPr>
        <w:rPr>
          <w:rFonts w:ascii="Times New Roman" w:hAnsi="Times New Roman" w:cs="Times New Roman"/>
          <w:b/>
          <w:bCs/>
          <w:i w:val="0"/>
          <w:szCs w:val="24"/>
        </w:rPr>
      </w:pPr>
    </w:p>
    <w:p>
      <w:pPr>
        <w:rPr>
          <w:rFonts w:ascii="Times New Roman" w:hAnsi="Times New Roman" w:cs="Times New Roman"/>
          <w:b/>
          <w:bCs/>
          <w:i w:val="0"/>
          <w:szCs w:val="24"/>
        </w:rPr>
      </w:pPr>
    </w:p>
    <w:p>
      <w:pPr>
        <w:rPr>
          <w:rFonts w:ascii="Times New Roman" w:hAnsi="Times New Roman" w:cs="Times New Roman"/>
          <w:b/>
          <w:bCs/>
          <w:i w:val="0"/>
          <w:szCs w:val="24"/>
        </w:rPr>
      </w:pPr>
    </w:p>
    <w:p>
      <w:pPr>
        <w:pStyle w:val="7"/>
        <w:ind w:hanging="851"/>
        <w:jc w:val="center"/>
        <w:rPr>
          <w:rFonts w:ascii="Times New Roman" w:hAnsi="Times New Roman" w:cs="Times New Roman"/>
          <w:b/>
          <w:bCs/>
          <w:i w:val="0"/>
          <w:szCs w:val="24"/>
        </w:rPr>
      </w:pPr>
    </w:p>
    <w:p>
      <w:pPr>
        <w:rPr>
          <w:rFonts w:ascii="Times New Roman" w:hAnsi="Times New Roman" w:cs="Times New Roman"/>
          <w:b/>
          <w:bCs/>
          <w:i w:val="0"/>
          <w:sz w:val="18"/>
          <w:szCs w:val="18"/>
        </w:rPr>
      </w:pPr>
      <w:r>
        <w:rPr>
          <w:rFonts w:ascii="Times New Roman" w:hAnsi="Times New Roman" w:cs="Times New Roman"/>
          <w:b/>
          <w:bCs/>
          <w:i w:val="0"/>
          <w:sz w:val="18"/>
          <w:szCs w:val="18"/>
        </w:rPr>
        <w:br w:type="page"/>
      </w:r>
    </w:p>
    <w:p>
      <w:pPr>
        <w:pStyle w:val="7"/>
        <w:ind w:hanging="851"/>
        <w:jc w:val="center"/>
        <w:rPr>
          <w:rFonts w:ascii="Times New Roman" w:hAnsi="Times New Roman" w:cs="Times New Roman"/>
          <w:b/>
          <w:bCs/>
          <w:i w:val="0"/>
          <w:sz w:val="18"/>
          <w:szCs w:val="18"/>
        </w:rPr>
      </w:pPr>
      <w:r>
        <w:rPr>
          <w:rFonts w:ascii="Times New Roman" w:hAnsi="Times New Roman" w:cs="Times New Roman"/>
          <w:b/>
          <w:bCs/>
          <w:i w:val="0"/>
          <w:sz w:val="18"/>
          <w:szCs w:val="18"/>
        </w:rPr>
        <w:t>ANEXO I – TERMO DE REFERÊNCIA</w:t>
      </w:r>
    </w:p>
    <w:p>
      <w:pPr>
        <w:rPr>
          <w:sz w:val="18"/>
          <w:szCs w:val="18"/>
        </w:rPr>
      </w:pPr>
    </w:p>
    <w:p>
      <w:pPr>
        <w:rPr>
          <w:sz w:val="18"/>
          <w:szCs w:val="18"/>
          <w:lang w:eastAsia="pt-BR"/>
        </w:rPr>
      </w:pPr>
      <w:r>
        <w:rPr>
          <w:sz w:val="18"/>
          <w:szCs w:val="18"/>
          <w:lang w:eastAsia="pt-BR"/>
        </w:rPr>
        <w:drawing>
          <wp:inline distT="0" distB="0" distL="114300" distR="114300">
            <wp:extent cx="5777230" cy="287655"/>
            <wp:effectExtent l="0" t="0" r="13970" b="17145"/>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6"/>
                    <a:stretch>
                      <a:fillRect/>
                    </a:stretch>
                  </pic:blipFill>
                  <pic:spPr>
                    <a:xfrm>
                      <a:off x="0" y="0"/>
                      <a:ext cx="5777230" cy="287655"/>
                    </a:xfrm>
                    <a:prstGeom prst="rect">
                      <a:avLst/>
                    </a:prstGeom>
                    <a:noFill/>
                    <a:ln>
                      <a:noFill/>
                    </a:ln>
                  </pic:spPr>
                </pic:pic>
              </a:graphicData>
            </a:graphic>
          </wp:inline>
        </w:drawing>
      </w:r>
    </w:p>
    <w:p>
      <w:pPr>
        <w:jc w:val="both"/>
        <w:rPr>
          <w:b/>
          <w:bCs/>
          <w:sz w:val="18"/>
          <w:szCs w:val="18"/>
        </w:rPr>
      </w:pPr>
    </w:p>
    <w:p>
      <w:pPr>
        <w:spacing w:line="480" w:lineRule="auto"/>
        <w:jc w:val="both"/>
        <w:rPr>
          <w:b/>
          <w:bCs/>
          <w:sz w:val="24"/>
          <w:szCs w:val="24"/>
        </w:rPr>
      </w:pPr>
      <w:r>
        <w:rPr>
          <w:b/>
          <w:bCs/>
          <w:sz w:val="18"/>
          <w:szCs w:val="18"/>
        </w:rPr>
        <w:t>1 OBJETO: REGISTRO DE PREÇOS OBJETIVANDO A AQUISIÇÃO FUTURA DE REAGENTES E INSUMOS LABORATORIAIS COM  MÁQUINAS EM COMODATO CONFORME TERMO DE REFERÊNCIA, PARA ATENDER DEMANDA DO LABORATÓRIO MUNICIPAL. SOLICITAÇÃO DA GERÊNCIA DE SAÚDE DO MUNICÍPIO DE NAVIRAÍ-MS. PEDIDO DE COMPRAS Nº 016/2021</w:t>
      </w:r>
      <w:r>
        <w:rPr>
          <w:b/>
          <w:bCs/>
          <w:sz w:val="24"/>
          <w:szCs w:val="24"/>
        </w:rPr>
        <w:t>.</w:t>
      </w:r>
    </w:p>
    <w:p>
      <w:pPr>
        <w:jc w:val="both"/>
        <w:rPr>
          <w:b/>
          <w:bCs/>
          <w:sz w:val="24"/>
          <w:szCs w:val="24"/>
        </w:r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74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tcPr>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rPr>
                <w:sz w:val="16"/>
                <w:szCs w:val="16"/>
              </w:rPr>
            </w:pPr>
          </w:p>
          <w:p>
            <w:pPr>
              <w:jc w:val="both"/>
              <w:rPr>
                <w:b/>
                <w:sz w:val="22"/>
                <w:szCs w:val="22"/>
              </w:rPr>
            </w:pPr>
            <w:r>
              <w:rPr>
                <w:b/>
                <w:sz w:val="22"/>
                <w:szCs w:val="22"/>
              </w:rPr>
              <w:t>ITEM 001</w:t>
            </w:r>
          </w:p>
          <w:p>
            <w:pPr>
              <w:jc w:val="both"/>
              <w:rPr>
                <w:sz w:val="16"/>
                <w:szCs w:val="16"/>
              </w:rPr>
            </w:pPr>
            <w:r>
              <w:rPr>
                <w:sz w:val="16"/>
                <w:szCs w:val="16"/>
              </w:rPr>
              <w:t>Comodato de um analisador automatizado de bioquímica conforme especificações</w:t>
            </w: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sz w:val="16"/>
                <w:szCs w:val="16"/>
              </w:rPr>
            </w:pPr>
          </w:p>
          <w:p>
            <w:pPr>
              <w:jc w:val="both"/>
              <w:rPr>
                <w:b/>
                <w:sz w:val="22"/>
                <w:szCs w:val="22"/>
              </w:rPr>
            </w:pPr>
          </w:p>
          <w:p>
            <w:pPr>
              <w:jc w:val="both"/>
              <w:rPr>
                <w:b/>
                <w:sz w:val="22"/>
                <w:szCs w:val="22"/>
              </w:rPr>
            </w:pPr>
          </w:p>
          <w:p>
            <w:pPr>
              <w:jc w:val="both"/>
              <w:rPr>
                <w:b/>
                <w:sz w:val="22"/>
                <w:szCs w:val="22"/>
              </w:rPr>
            </w:pPr>
          </w:p>
          <w:p>
            <w:pPr>
              <w:jc w:val="both"/>
              <w:rPr>
                <w:b/>
                <w:sz w:val="22"/>
                <w:szCs w:val="22"/>
              </w:rPr>
            </w:pPr>
          </w:p>
          <w:p>
            <w:pPr>
              <w:jc w:val="both"/>
              <w:rPr>
                <w:b/>
                <w:sz w:val="22"/>
                <w:szCs w:val="22"/>
              </w:rPr>
            </w:pPr>
          </w:p>
          <w:p>
            <w:pPr>
              <w:jc w:val="both"/>
              <w:rPr>
                <w:b/>
                <w:sz w:val="22"/>
                <w:szCs w:val="22"/>
              </w:rPr>
            </w:pPr>
          </w:p>
          <w:p>
            <w:pPr>
              <w:jc w:val="both"/>
              <w:rPr>
                <w:b/>
                <w:sz w:val="22"/>
                <w:szCs w:val="22"/>
              </w:rPr>
            </w:pPr>
            <w:r>
              <w:rPr>
                <w:b/>
                <w:sz w:val="22"/>
                <w:szCs w:val="22"/>
              </w:rPr>
              <w:t>ITEM 002</w:t>
            </w:r>
          </w:p>
          <w:p>
            <w:pPr>
              <w:jc w:val="both"/>
              <w:rPr>
                <w:sz w:val="22"/>
                <w:szCs w:val="22"/>
              </w:rPr>
            </w:pPr>
            <w:r>
              <w:rPr>
                <w:sz w:val="16"/>
                <w:szCs w:val="16"/>
              </w:rPr>
              <w:t>Comodato de um contador automatizado de hematologia conforme especificações.</w:t>
            </w:r>
          </w:p>
        </w:tc>
        <w:tc>
          <w:tcPr>
            <w:tcW w:w="7478" w:type="dxa"/>
          </w:tcPr>
          <w:p>
            <w:pPr>
              <w:rPr>
                <w:sz w:val="22"/>
                <w:szCs w:val="22"/>
              </w:rPr>
            </w:pPr>
            <w:r>
              <w:rPr>
                <w:sz w:val="22"/>
                <w:szCs w:val="22"/>
                <w:lang w:eastAsia="pt-BR"/>
              </w:rPr>
              <w:drawing>
                <wp:inline distT="0" distB="0" distL="0" distR="0">
                  <wp:extent cx="4763135" cy="430593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4763539" cy="4306325"/>
                          </a:xfrm>
                          <a:prstGeom prst="rect">
                            <a:avLst/>
                          </a:prstGeom>
                          <a:noFill/>
                          <a:ln>
                            <a:noFill/>
                          </a:ln>
                        </pic:spPr>
                      </pic:pic>
                    </a:graphicData>
                  </a:graphic>
                </wp:inline>
              </w:drawing>
            </w:r>
          </w:p>
          <w:p>
            <w:pPr>
              <w:rPr>
                <w:sz w:val="22"/>
                <w:szCs w:val="22"/>
              </w:rPr>
            </w:pPr>
            <w:r>
              <w:rPr>
                <w:sz w:val="22"/>
                <w:szCs w:val="22"/>
                <w:lang w:eastAsia="pt-BR"/>
              </w:rPr>
              <w:drawing>
                <wp:inline distT="0" distB="0" distL="0" distR="0">
                  <wp:extent cx="4425315" cy="4376420"/>
                  <wp:effectExtent l="0" t="0" r="13335" b="508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4425315" cy="4376420"/>
                          </a:xfrm>
                          <a:prstGeom prst="rect">
                            <a:avLst/>
                          </a:prstGeom>
                          <a:noFill/>
                          <a:ln>
                            <a:noFill/>
                          </a:ln>
                        </pic:spPr>
                      </pic:pic>
                    </a:graphicData>
                  </a:graphic>
                </wp:inline>
              </w:drawing>
            </w:r>
          </w:p>
          <w:p>
            <w:pPr>
              <w:rPr>
                <w:sz w:val="22"/>
                <w:szCs w:val="22"/>
              </w:rPr>
            </w:pPr>
          </w:p>
          <w:p>
            <w:pPr>
              <w:rPr>
                <w:sz w:val="22"/>
                <w:szCs w:val="22"/>
              </w:rPr>
            </w:pPr>
          </w:p>
          <w:p>
            <w:pPr>
              <w:rPr>
                <w:sz w:val="22"/>
                <w:szCs w:val="22"/>
              </w:rPr>
            </w:pPr>
            <w:r>
              <w:rPr>
                <w:sz w:val="22"/>
                <w:szCs w:val="22"/>
                <w:lang w:eastAsia="pt-BR"/>
              </w:rPr>
              <w:drawing>
                <wp:inline distT="0" distB="0" distL="0" distR="0">
                  <wp:extent cx="4678045" cy="659130"/>
                  <wp:effectExtent l="0" t="0" r="8255" b="762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682347" cy="659786"/>
                          </a:xfrm>
                          <a:prstGeom prst="rect">
                            <a:avLst/>
                          </a:prstGeom>
                          <a:noFill/>
                          <a:ln>
                            <a:noFill/>
                          </a:ln>
                        </pic:spPr>
                      </pic:pic>
                    </a:graphicData>
                  </a:graphic>
                </wp:inline>
              </w:drawing>
            </w:r>
          </w:p>
          <w:p>
            <w:pPr>
              <w:rPr>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tcPr>
          <w:p>
            <w:pPr>
              <w:jc w:val="both"/>
              <w:rPr>
                <w:b/>
                <w:sz w:val="22"/>
                <w:szCs w:val="22"/>
              </w:rPr>
            </w:pPr>
          </w:p>
          <w:p>
            <w:pPr>
              <w:jc w:val="both"/>
              <w:rPr>
                <w:b/>
                <w:sz w:val="22"/>
                <w:szCs w:val="22"/>
              </w:rPr>
            </w:pPr>
          </w:p>
          <w:p>
            <w:pPr>
              <w:jc w:val="both"/>
              <w:rPr>
                <w:b/>
                <w:sz w:val="22"/>
                <w:szCs w:val="22"/>
              </w:rPr>
            </w:pPr>
          </w:p>
          <w:p>
            <w:pPr>
              <w:jc w:val="both"/>
              <w:rPr>
                <w:b/>
                <w:sz w:val="22"/>
                <w:szCs w:val="22"/>
              </w:rPr>
            </w:pPr>
            <w:r>
              <w:rPr>
                <w:b/>
                <w:sz w:val="22"/>
                <w:szCs w:val="22"/>
              </w:rPr>
              <w:t>ITEM 003</w:t>
            </w:r>
          </w:p>
          <w:p>
            <w:pPr>
              <w:rPr>
                <w:sz w:val="16"/>
                <w:szCs w:val="16"/>
              </w:rPr>
            </w:pPr>
            <w:r>
              <w:rPr>
                <w:sz w:val="16"/>
                <w:szCs w:val="16"/>
              </w:rPr>
              <w:t>Comodato de um leitor automático de VHS.</w:t>
            </w:r>
          </w:p>
        </w:tc>
        <w:tc>
          <w:tcPr>
            <w:tcW w:w="7478" w:type="dxa"/>
          </w:tcPr>
          <w:p>
            <w:pPr>
              <w:rPr>
                <w:sz w:val="22"/>
                <w:szCs w:val="22"/>
                <w:lang w:eastAsia="pt-BR"/>
              </w:rPr>
            </w:pPr>
          </w:p>
          <w:p>
            <w:pPr>
              <w:rPr>
                <w:sz w:val="22"/>
                <w:szCs w:val="22"/>
                <w:lang w:eastAsia="pt-BR"/>
              </w:rPr>
            </w:pPr>
          </w:p>
          <w:p>
            <w:pPr>
              <w:rPr>
                <w:sz w:val="22"/>
                <w:szCs w:val="22"/>
                <w:lang w:eastAsia="pt-BR"/>
              </w:rPr>
            </w:pPr>
          </w:p>
          <w:p>
            <w:pPr>
              <w:rPr>
                <w:sz w:val="22"/>
                <w:szCs w:val="22"/>
                <w:lang w:eastAsia="pt-BR"/>
              </w:rPr>
            </w:pPr>
            <w:r>
              <w:rPr>
                <w:sz w:val="22"/>
                <w:szCs w:val="22"/>
                <w:lang w:eastAsia="pt-BR"/>
              </w:rPr>
              <w:drawing>
                <wp:inline distT="0" distB="0" distL="0" distR="0">
                  <wp:extent cx="4603750" cy="594995"/>
                  <wp:effectExtent l="0" t="0" r="635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4603750" cy="595404"/>
                          </a:xfrm>
                          <a:prstGeom prst="rect">
                            <a:avLst/>
                          </a:prstGeom>
                          <a:noFill/>
                          <a:ln>
                            <a:noFill/>
                          </a:ln>
                        </pic:spPr>
                      </pic:pic>
                    </a:graphicData>
                  </a:graphic>
                </wp:inline>
              </w:drawing>
            </w:r>
          </w:p>
        </w:tc>
      </w:tr>
    </w:tbl>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r>
        <w:rPr>
          <w:lang w:eastAsia="pt-BR"/>
        </w:rPr>
        <w:drawing>
          <wp:inline distT="0" distB="0" distL="114300" distR="114300">
            <wp:extent cx="5784215" cy="2472055"/>
            <wp:effectExtent l="0" t="0" r="6985" b="4445"/>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11"/>
                    <a:stretch>
                      <a:fillRect/>
                    </a:stretch>
                  </pic:blipFill>
                  <pic:spPr>
                    <a:xfrm>
                      <a:off x="0" y="0"/>
                      <a:ext cx="5784215" cy="2472055"/>
                    </a:xfrm>
                    <a:prstGeom prst="rect">
                      <a:avLst/>
                    </a:prstGeom>
                    <a:noFill/>
                    <a:ln>
                      <a:noFill/>
                    </a:ln>
                  </pic:spPr>
                </pic:pic>
              </a:graphicData>
            </a:graphic>
          </wp:inline>
        </w:drawing>
      </w:r>
    </w:p>
    <w:p>
      <w:r>
        <w:rPr>
          <w:lang w:eastAsia="pt-BR"/>
        </w:rPr>
        <w:drawing>
          <wp:inline distT="0" distB="0" distL="114300" distR="114300">
            <wp:extent cx="5781675" cy="427990"/>
            <wp:effectExtent l="0" t="0" r="9525" b="1016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12"/>
                    <a:stretch>
                      <a:fillRect/>
                    </a:stretch>
                  </pic:blipFill>
                  <pic:spPr>
                    <a:xfrm>
                      <a:off x="0" y="0"/>
                      <a:ext cx="5781675" cy="427990"/>
                    </a:xfrm>
                    <a:prstGeom prst="rect">
                      <a:avLst/>
                    </a:prstGeom>
                    <a:noFill/>
                    <a:ln>
                      <a:noFill/>
                    </a:ln>
                  </pic:spPr>
                </pic:pic>
              </a:graphicData>
            </a:graphic>
          </wp:inline>
        </w:drawing>
      </w:r>
    </w:p>
    <w:p/>
    <w:p>
      <w:r>
        <w:rPr>
          <w:lang w:eastAsia="pt-BR"/>
        </w:rPr>
        <w:drawing>
          <wp:inline distT="0" distB="0" distL="114300" distR="114300">
            <wp:extent cx="5784215" cy="7802880"/>
            <wp:effectExtent l="0" t="0" r="6985" b="7620"/>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13"/>
                    <a:stretch>
                      <a:fillRect/>
                    </a:stretch>
                  </pic:blipFill>
                  <pic:spPr>
                    <a:xfrm>
                      <a:off x="0" y="0"/>
                      <a:ext cx="5784215" cy="7802880"/>
                    </a:xfrm>
                    <a:prstGeom prst="rect">
                      <a:avLst/>
                    </a:prstGeom>
                    <a:noFill/>
                    <a:ln>
                      <a:noFill/>
                    </a:ln>
                  </pic:spPr>
                </pic:pic>
              </a:graphicData>
            </a:graphic>
          </wp:inline>
        </w:drawing>
      </w:r>
    </w:p>
    <w:p/>
    <w:p/>
    <w:p/>
    <w:p/>
    <w:p/>
    <w:p/>
    <w:p/>
    <w:p>
      <w:r>
        <w:rPr>
          <w:lang w:eastAsia="pt-BR"/>
        </w:rPr>
        <w:drawing>
          <wp:inline distT="0" distB="0" distL="114300" distR="114300">
            <wp:extent cx="5786755" cy="7980045"/>
            <wp:effectExtent l="0" t="0" r="4445" b="1905"/>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14"/>
                    <a:stretch>
                      <a:fillRect/>
                    </a:stretch>
                  </pic:blipFill>
                  <pic:spPr>
                    <a:xfrm>
                      <a:off x="0" y="0"/>
                      <a:ext cx="5786755" cy="7980045"/>
                    </a:xfrm>
                    <a:prstGeom prst="rect">
                      <a:avLst/>
                    </a:prstGeom>
                    <a:noFill/>
                    <a:ln>
                      <a:noFill/>
                    </a:ln>
                  </pic:spPr>
                </pic:pic>
              </a:graphicData>
            </a:graphic>
          </wp:inline>
        </w:drawing>
      </w:r>
    </w:p>
    <w:p/>
    <w:p/>
    <w:p/>
    <w:p/>
    <w:p/>
    <w:p/>
    <w:p/>
    <w:p/>
    <w:p/>
    <w:p>
      <w:r>
        <w:rPr>
          <w:lang w:eastAsia="pt-BR"/>
        </w:rPr>
        <w:drawing>
          <wp:inline distT="0" distB="0" distL="114300" distR="114300">
            <wp:extent cx="5784215" cy="1774825"/>
            <wp:effectExtent l="0" t="0" r="6985" b="15875"/>
            <wp:docPr id="1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7"/>
                    <pic:cNvPicPr>
                      <a:picLocks noChangeAspect="1"/>
                    </pic:cNvPicPr>
                  </pic:nvPicPr>
                  <pic:blipFill>
                    <a:blip r:embed="rId15"/>
                    <a:stretch>
                      <a:fillRect/>
                    </a:stretch>
                  </pic:blipFill>
                  <pic:spPr>
                    <a:xfrm>
                      <a:off x="0" y="0"/>
                      <a:ext cx="5784215" cy="1774825"/>
                    </a:xfrm>
                    <a:prstGeom prst="rect">
                      <a:avLst/>
                    </a:prstGeom>
                    <a:noFill/>
                    <a:ln>
                      <a:noFill/>
                    </a:ln>
                  </pic:spPr>
                </pic:pic>
              </a:graphicData>
            </a:graphic>
          </wp:inline>
        </w:drawing>
      </w:r>
    </w:p>
    <w:p/>
    <w:p/>
    <w:p>
      <w:r>
        <w:rPr>
          <w:lang w:eastAsia="pt-BR"/>
        </w:rPr>
        <w:drawing>
          <wp:inline distT="0" distB="0" distL="114300" distR="114300">
            <wp:extent cx="5770245" cy="6201410"/>
            <wp:effectExtent l="0" t="0" r="1905" b="8890"/>
            <wp:docPr id="1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8"/>
                    <pic:cNvPicPr>
                      <a:picLocks noChangeAspect="1"/>
                    </pic:cNvPicPr>
                  </pic:nvPicPr>
                  <pic:blipFill>
                    <a:blip r:embed="rId16"/>
                    <a:stretch>
                      <a:fillRect/>
                    </a:stretch>
                  </pic:blipFill>
                  <pic:spPr>
                    <a:xfrm>
                      <a:off x="0" y="0"/>
                      <a:ext cx="5770245" cy="6201410"/>
                    </a:xfrm>
                    <a:prstGeom prst="rect">
                      <a:avLst/>
                    </a:prstGeom>
                    <a:noFill/>
                    <a:ln>
                      <a:noFill/>
                    </a:ln>
                  </pic:spPr>
                </pic:pic>
              </a:graphicData>
            </a:graphic>
          </wp:inline>
        </w:drawing>
      </w:r>
    </w:p>
    <w:p/>
    <w:p/>
    <w:p/>
    <w:p/>
    <w:p>
      <w:r>
        <w:rPr>
          <w:lang w:eastAsia="pt-BR"/>
        </w:rPr>
        <w:drawing>
          <wp:inline distT="0" distB="0" distL="114300" distR="114300">
            <wp:extent cx="5782945" cy="8468360"/>
            <wp:effectExtent l="0" t="0" r="8255" b="8890"/>
            <wp:docPr id="1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9"/>
                    <pic:cNvPicPr>
                      <a:picLocks noChangeAspect="1"/>
                    </pic:cNvPicPr>
                  </pic:nvPicPr>
                  <pic:blipFill>
                    <a:blip r:embed="rId17"/>
                    <a:stretch>
                      <a:fillRect/>
                    </a:stretch>
                  </pic:blipFill>
                  <pic:spPr>
                    <a:xfrm>
                      <a:off x="0" y="0"/>
                      <a:ext cx="5782945" cy="8468360"/>
                    </a:xfrm>
                    <a:prstGeom prst="rect">
                      <a:avLst/>
                    </a:prstGeom>
                    <a:noFill/>
                    <a:ln>
                      <a:noFill/>
                    </a:ln>
                  </pic:spPr>
                </pic:pic>
              </a:graphicData>
            </a:graphic>
          </wp:inline>
        </w:drawing>
      </w:r>
    </w:p>
    <w:p/>
    <w:p/>
    <w:p/>
    <w:p/>
    <w:p/>
    <w:p/>
    <w:p/>
    <w:p>
      <w:r>
        <w:rPr>
          <w:lang w:eastAsia="pt-BR"/>
        </w:rPr>
        <w:drawing>
          <wp:inline distT="0" distB="0" distL="114300" distR="114300">
            <wp:extent cx="5772150" cy="8437245"/>
            <wp:effectExtent l="0" t="0" r="0" b="1905"/>
            <wp:docPr id="1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0"/>
                    <pic:cNvPicPr>
                      <a:picLocks noChangeAspect="1"/>
                    </pic:cNvPicPr>
                  </pic:nvPicPr>
                  <pic:blipFill>
                    <a:blip r:embed="rId18"/>
                    <a:stretch>
                      <a:fillRect/>
                    </a:stretch>
                  </pic:blipFill>
                  <pic:spPr>
                    <a:xfrm>
                      <a:off x="0" y="0"/>
                      <a:ext cx="5772150" cy="8437245"/>
                    </a:xfrm>
                    <a:prstGeom prst="rect">
                      <a:avLst/>
                    </a:prstGeom>
                    <a:noFill/>
                    <a:ln>
                      <a:noFill/>
                    </a:ln>
                  </pic:spPr>
                </pic:pic>
              </a:graphicData>
            </a:graphic>
          </wp:inline>
        </w:drawing>
      </w:r>
    </w:p>
    <w:p/>
    <w:p/>
    <w:p/>
    <w:p>
      <w:r>
        <w:rPr>
          <w:lang w:eastAsia="pt-BR"/>
        </w:rPr>
        <w:drawing>
          <wp:inline distT="0" distB="0" distL="114300" distR="114300">
            <wp:extent cx="5782310" cy="8418195"/>
            <wp:effectExtent l="0" t="0" r="8890" b="1905"/>
            <wp:docPr id="1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1"/>
                    <pic:cNvPicPr>
                      <a:picLocks noChangeAspect="1"/>
                    </pic:cNvPicPr>
                  </pic:nvPicPr>
                  <pic:blipFill>
                    <a:blip r:embed="rId19"/>
                    <a:stretch>
                      <a:fillRect/>
                    </a:stretch>
                  </pic:blipFill>
                  <pic:spPr>
                    <a:xfrm>
                      <a:off x="0" y="0"/>
                      <a:ext cx="5782310" cy="8418195"/>
                    </a:xfrm>
                    <a:prstGeom prst="rect">
                      <a:avLst/>
                    </a:prstGeom>
                    <a:noFill/>
                    <a:ln>
                      <a:noFill/>
                    </a:ln>
                  </pic:spPr>
                </pic:pic>
              </a:graphicData>
            </a:graphic>
          </wp:inline>
        </w:drawing>
      </w:r>
    </w:p>
    <w:p/>
    <w:p/>
    <w:p>
      <w:r>
        <w:rPr>
          <w:lang w:eastAsia="pt-BR"/>
        </w:rPr>
        <w:drawing>
          <wp:inline distT="0" distB="0" distL="114300" distR="114300">
            <wp:extent cx="5782310" cy="8374380"/>
            <wp:effectExtent l="0" t="0" r="8890" b="7620"/>
            <wp:docPr id="1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2"/>
                    <pic:cNvPicPr>
                      <a:picLocks noChangeAspect="1"/>
                    </pic:cNvPicPr>
                  </pic:nvPicPr>
                  <pic:blipFill>
                    <a:blip r:embed="rId20"/>
                    <a:stretch>
                      <a:fillRect/>
                    </a:stretch>
                  </pic:blipFill>
                  <pic:spPr>
                    <a:xfrm>
                      <a:off x="0" y="0"/>
                      <a:ext cx="5782310" cy="8374380"/>
                    </a:xfrm>
                    <a:prstGeom prst="rect">
                      <a:avLst/>
                    </a:prstGeom>
                    <a:noFill/>
                    <a:ln>
                      <a:noFill/>
                    </a:ln>
                  </pic:spPr>
                </pic:pic>
              </a:graphicData>
            </a:graphic>
          </wp:inline>
        </w:drawing>
      </w:r>
    </w:p>
    <w:p/>
    <w:p/>
    <w:p/>
    <w:p>
      <w:r>
        <w:rPr>
          <w:lang w:eastAsia="pt-BR"/>
        </w:rPr>
        <w:drawing>
          <wp:inline distT="0" distB="0" distL="114300" distR="114300">
            <wp:extent cx="5774055" cy="8401685"/>
            <wp:effectExtent l="0" t="0" r="17145" b="18415"/>
            <wp:docPr id="1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3"/>
                    <pic:cNvPicPr>
                      <a:picLocks noChangeAspect="1"/>
                    </pic:cNvPicPr>
                  </pic:nvPicPr>
                  <pic:blipFill>
                    <a:blip r:embed="rId21"/>
                    <a:stretch>
                      <a:fillRect/>
                    </a:stretch>
                  </pic:blipFill>
                  <pic:spPr>
                    <a:xfrm>
                      <a:off x="0" y="0"/>
                      <a:ext cx="5774055" cy="8401685"/>
                    </a:xfrm>
                    <a:prstGeom prst="rect">
                      <a:avLst/>
                    </a:prstGeom>
                    <a:noFill/>
                    <a:ln>
                      <a:noFill/>
                    </a:ln>
                  </pic:spPr>
                </pic:pic>
              </a:graphicData>
            </a:graphic>
          </wp:inline>
        </w:drawing>
      </w:r>
    </w:p>
    <w:p/>
    <w:p>
      <w:pPr>
        <w:rPr>
          <w:b/>
          <w:bCs/>
          <w:sz w:val="24"/>
          <w:szCs w:val="24"/>
        </w:rPr>
      </w:pPr>
      <w:r>
        <w:rPr>
          <w:lang w:eastAsia="pt-BR"/>
        </w:rPr>
        <w:drawing>
          <wp:inline distT="0" distB="0" distL="114300" distR="114300">
            <wp:extent cx="5770880" cy="8433435"/>
            <wp:effectExtent l="0" t="0" r="1270" b="5715"/>
            <wp:docPr id="1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4"/>
                    <pic:cNvPicPr>
                      <a:picLocks noChangeAspect="1"/>
                    </pic:cNvPicPr>
                  </pic:nvPicPr>
                  <pic:blipFill>
                    <a:blip r:embed="rId22"/>
                    <a:stretch>
                      <a:fillRect/>
                    </a:stretch>
                  </pic:blipFill>
                  <pic:spPr>
                    <a:xfrm>
                      <a:off x="0" y="0"/>
                      <a:ext cx="5770880" cy="8433435"/>
                    </a:xfrm>
                    <a:prstGeom prst="rect">
                      <a:avLst/>
                    </a:prstGeom>
                    <a:noFill/>
                    <a:ln>
                      <a:noFill/>
                    </a:ln>
                  </pic:spPr>
                </pic:pic>
              </a:graphicData>
            </a:graphic>
          </wp:inline>
        </w:drawing>
      </w:r>
    </w:p>
    <w:p>
      <w:pPr>
        <w:rPr>
          <w:b/>
          <w:bCs/>
          <w:sz w:val="24"/>
          <w:szCs w:val="24"/>
        </w:rPr>
      </w:pPr>
      <w:r>
        <w:rPr>
          <w:lang w:eastAsia="pt-BR"/>
        </w:rPr>
        <w:drawing>
          <wp:inline distT="0" distB="0" distL="114300" distR="114300">
            <wp:extent cx="4613275" cy="6505575"/>
            <wp:effectExtent l="0" t="0" r="15875" b="9525"/>
            <wp:docPr id="1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5"/>
                    <pic:cNvPicPr>
                      <a:picLocks noChangeAspect="1"/>
                    </pic:cNvPicPr>
                  </pic:nvPicPr>
                  <pic:blipFill>
                    <a:blip r:embed="rId23"/>
                    <a:stretch>
                      <a:fillRect/>
                    </a:stretch>
                  </pic:blipFill>
                  <pic:spPr>
                    <a:xfrm>
                      <a:off x="0" y="0"/>
                      <a:ext cx="4613275" cy="6505575"/>
                    </a:xfrm>
                    <a:prstGeom prst="rect">
                      <a:avLst/>
                    </a:prstGeom>
                    <a:noFill/>
                    <a:ln>
                      <a:noFill/>
                    </a:ln>
                  </pic:spPr>
                </pic:pic>
              </a:graphicData>
            </a:graphic>
          </wp:inline>
        </w:drawing>
      </w:r>
    </w:p>
    <w:p>
      <w:r>
        <w:rPr>
          <w:b/>
          <w:bCs/>
          <w:sz w:val="24"/>
          <w:szCs w:val="24"/>
        </w:rPr>
        <w:t xml:space="preserve">VALIDADE DA ATA DE REGISTRO DE PREÇOS: </w:t>
      </w:r>
      <w:r>
        <w:rPr>
          <w:bCs/>
          <w:sz w:val="24"/>
          <w:szCs w:val="24"/>
        </w:rPr>
        <w:t>12 (doze) meses.</w:t>
      </w:r>
    </w:p>
    <w:p>
      <w:pPr>
        <w:rPr>
          <w:b/>
          <w:bCs/>
          <w:sz w:val="24"/>
          <w:szCs w:val="24"/>
        </w:rPr>
      </w:pPr>
    </w:p>
    <w:p>
      <w:r>
        <w:rPr>
          <w:b/>
          <w:bCs/>
          <w:sz w:val="24"/>
          <w:szCs w:val="24"/>
        </w:rPr>
        <w:t xml:space="preserve">PRAZO PARA A ENTREGA DOS MATERIAIS: </w:t>
      </w:r>
      <w:r>
        <w:rPr>
          <w:bCs/>
          <w:sz w:val="24"/>
          <w:szCs w:val="24"/>
        </w:rPr>
        <w:t>15 (quinze) dias úteis</w:t>
      </w:r>
    </w:p>
    <w:p>
      <w:pPr>
        <w:rPr>
          <w:b/>
          <w:bCs/>
          <w:sz w:val="24"/>
          <w:szCs w:val="24"/>
        </w:rPr>
      </w:pPr>
    </w:p>
    <w:p>
      <w:r>
        <w:rPr>
          <w:b/>
          <w:bCs/>
          <w:sz w:val="24"/>
          <w:szCs w:val="24"/>
        </w:rPr>
        <w:t xml:space="preserve">PRAZO PARA SUBSTITUIÇÃO: </w:t>
      </w:r>
      <w:r>
        <w:rPr>
          <w:bCs/>
          <w:sz w:val="24"/>
          <w:szCs w:val="24"/>
        </w:rPr>
        <w:t>15 (quinze) dias úteis</w:t>
      </w:r>
    </w:p>
    <w:p>
      <w:pPr>
        <w:rPr>
          <w:b/>
          <w:bCs/>
          <w:sz w:val="24"/>
          <w:szCs w:val="24"/>
        </w:rPr>
      </w:pPr>
    </w:p>
    <w:p>
      <w:r>
        <w:rPr>
          <w:b/>
          <w:bCs/>
          <w:sz w:val="24"/>
          <w:szCs w:val="24"/>
        </w:rPr>
        <w:t xml:space="preserve">LOCAL DE ENTREGA: </w:t>
      </w:r>
      <w:r>
        <w:rPr>
          <w:bCs/>
          <w:sz w:val="24"/>
          <w:szCs w:val="24"/>
        </w:rPr>
        <w:t>Indicado na Ordem de Fornecimento</w:t>
      </w:r>
    </w:p>
    <w:p>
      <w:pPr>
        <w:jc w:val="both"/>
        <w:rPr>
          <w:b/>
          <w:bCs/>
          <w:sz w:val="24"/>
          <w:szCs w:val="24"/>
        </w:rPr>
      </w:pPr>
    </w:p>
    <w:p>
      <w:pPr>
        <w:jc w:val="both"/>
        <w:rPr>
          <w:b/>
          <w:bCs/>
          <w:sz w:val="24"/>
          <w:szCs w:val="24"/>
        </w:rPr>
      </w:pPr>
    </w:p>
    <w:p>
      <w:pPr>
        <w:jc w:val="both"/>
        <w:rPr>
          <w:b/>
          <w:bCs/>
          <w:sz w:val="24"/>
          <w:szCs w:val="24"/>
        </w:rPr>
      </w:pPr>
    </w:p>
    <w:p>
      <w:pPr>
        <w:jc w:val="both"/>
        <w:rPr>
          <w:b/>
          <w:bCs/>
          <w:sz w:val="24"/>
          <w:szCs w:val="24"/>
        </w:rPr>
      </w:pPr>
    </w:p>
    <w:p>
      <w:pPr>
        <w:jc w:val="both"/>
        <w:rPr>
          <w:b/>
          <w:bCs/>
          <w:sz w:val="24"/>
          <w:szCs w:val="24"/>
        </w:rPr>
      </w:pPr>
    </w:p>
    <w:p>
      <w:pPr>
        <w:jc w:val="both"/>
        <w:rPr>
          <w:b/>
          <w:bCs/>
          <w:sz w:val="24"/>
          <w:szCs w:val="24"/>
        </w:rPr>
      </w:pPr>
    </w:p>
    <w:p>
      <w:pPr>
        <w:jc w:val="both"/>
        <w:rPr>
          <w:b/>
          <w:bCs/>
          <w:sz w:val="24"/>
          <w:szCs w:val="24"/>
        </w:rPr>
      </w:pPr>
    </w:p>
    <w:p>
      <w:pPr>
        <w:jc w:val="both"/>
        <w:rPr>
          <w:b/>
          <w:bCs/>
          <w:sz w:val="24"/>
          <w:szCs w:val="24"/>
        </w:rPr>
      </w:pPr>
    </w:p>
    <w:p>
      <w:pPr>
        <w:jc w:val="both"/>
        <w:rPr>
          <w:rFonts w:hint="default"/>
          <w:lang w:val="pt-BR"/>
        </w:rPr>
      </w:pPr>
      <w:r>
        <w:rPr>
          <w:b/>
          <w:bCs/>
          <w:sz w:val="24"/>
          <w:szCs w:val="24"/>
        </w:rPr>
        <w:t>QUANTIDADE MÍNIMA A SER SOLICITADA POR COMPRA</w:t>
      </w:r>
      <w:r>
        <w:rPr>
          <w:rFonts w:hint="default"/>
          <w:b/>
          <w:bCs/>
          <w:sz w:val="24"/>
          <w:szCs w:val="24"/>
          <w:lang w:val="pt-BR"/>
        </w:rPr>
        <w:t xml:space="preserve"> ESTIMADA</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
        <w:gridCol w:w="2280"/>
        <w:gridCol w:w="1350"/>
        <w:gridCol w:w="1395"/>
        <w:gridCol w:w="1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6" w:type="dxa"/>
          </w:tcPr>
          <w:p>
            <w:pPr>
              <w:pStyle w:val="7"/>
              <w:rPr>
                <w:rFonts w:hint="default" w:ascii="Times New Roman" w:hAnsi="Times New Roman" w:cs="Times New Roman"/>
                <w:b/>
                <w:bCs/>
                <w:i w:val="0"/>
                <w:sz w:val="22"/>
                <w:szCs w:val="22"/>
                <w:vertAlign w:val="baseline"/>
                <w:lang w:val="pt-BR"/>
              </w:rPr>
            </w:pPr>
            <w:r>
              <w:rPr>
                <w:rFonts w:hint="default" w:ascii="Times New Roman" w:hAnsi="Times New Roman" w:cs="Times New Roman"/>
                <w:b/>
                <w:bCs/>
                <w:i w:val="0"/>
                <w:sz w:val="22"/>
                <w:szCs w:val="22"/>
                <w:vertAlign w:val="baseline"/>
                <w:lang w:val="pt-BR"/>
              </w:rPr>
              <w:t>item</w:t>
            </w:r>
          </w:p>
        </w:tc>
        <w:tc>
          <w:tcPr>
            <w:tcW w:w="2280" w:type="dxa"/>
          </w:tcPr>
          <w:p>
            <w:pPr>
              <w:pStyle w:val="7"/>
              <w:rPr>
                <w:rFonts w:hint="default" w:ascii="Times New Roman" w:hAnsi="Times New Roman" w:cs="Times New Roman"/>
                <w:b/>
                <w:bCs/>
                <w:i w:val="0"/>
                <w:sz w:val="22"/>
                <w:szCs w:val="22"/>
                <w:vertAlign w:val="baseline"/>
                <w:lang w:val="pt-BR"/>
              </w:rPr>
            </w:pPr>
            <w:r>
              <w:rPr>
                <w:rFonts w:hint="default" w:ascii="Times New Roman" w:hAnsi="Times New Roman" w:cs="Times New Roman"/>
                <w:b/>
                <w:bCs/>
                <w:i w:val="0"/>
                <w:sz w:val="22"/>
                <w:szCs w:val="22"/>
                <w:vertAlign w:val="baseline"/>
                <w:lang w:val="pt-BR"/>
              </w:rPr>
              <w:t>descrição</w:t>
            </w:r>
          </w:p>
        </w:tc>
        <w:tc>
          <w:tcPr>
            <w:tcW w:w="1350" w:type="dxa"/>
          </w:tcPr>
          <w:p>
            <w:pPr>
              <w:pStyle w:val="7"/>
              <w:rPr>
                <w:rFonts w:hint="default" w:ascii="Times New Roman" w:hAnsi="Times New Roman" w:cs="Times New Roman"/>
                <w:b/>
                <w:bCs/>
                <w:i w:val="0"/>
                <w:sz w:val="22"/>
                <w:szCs w:val="22"/>
                <w:vertAlign w:val="baseline"/>
                <w:lang w:val="pt-BR"/>
              </w:rPr>
            </w:pPr>
            <w:r>
              <w:rPr>
                <w:rFonts w:hint="default" w:ascii="Times New Roman" w:hAnsi="Times New Roman" w:cs="Times New Roman"/>
                <w:b/>
                <w:bCs/>
                <w:i w:val="0"/>
                <w:sz w:val="22"/>
                <w:szCs w:val="22"/>
                <w:vertAlign w:val="baseline"/>
                <w:lang w:val="pt-BR"/>
              </w:rPr>
              <w:t>un</w:t>
            </w:r>
          </w:p>
        </w:tc>
        <w:tc>
          <w:tcPr>
            <w:tcW w:w="1395" w:type="dxa"/>
          </w:tcPr>
          <w:p>
            <w:pPr>
              <w:pStyle w:val="7"/>
              <w:rPr>
                <w:rFonts w:hint="default" w:ascii="Times New Roman" w:hAnsi="Times New Roman" w:cs="Times New Roman"/>
                <w:b/>
                <w:bCs/>
                <w:i w:val="0"/>
                <w:sz w:val="22"/>
                <w:szCs w:val="22"/>
                <w:vertAlign w:val="baseline"/>
                <w:lang w:val="pt-BR"/>
              </w:rPr>
            </w:pPr>
            <w:r>
              <w:rPr>
                <w:rFonts w:hint="default" w:ascii="Times New Roman" w:hAnsi="Times New Roman" w:cs="Times New Roman"/>
                <w:b/>
                <w:bCs/>
                <w:i w:val="0"/>
                <w:sz w:val="22"/>
                <w:szCs w:val="22"/>
                <w:vertAlign w:val="baseline"/>
                <w:lang w:val="pt-BR"/>
              </w:rPr>
              <w:t>quantidade</w:t>
            </w:r>
          </w:p>
        </w:tc>
        <w:tc>
          <w:tcPr>
            <w:tcW w:w="1515" w:type="dxa"/>
          </w:tcPr>
          <w:p>
            <w:pPr>
              <w:pStyle w:val="7"/>
              <w:rPr>
                <w:rFonts w:hint="default" w:ascii="Times New Roman" w:hAnsi="Times New Roman" w:cs="Times New Roman"/>
                <w:b/>
                <w:bCs/>
                <w:i w:val="0"/>
                <w:sz w:val="22"/>
                <w:szCs w:val="22"/>
                <w:vertAlign w:val="baseline"/>
                <w:lang w:val="pt-BR"/>
              </w:rPr>
            </w:pPr>
            <w:r>
              <w:rPr>
                <w:rFonts w:hint="default" w:ascii="Times New Roman" w:hAnsi="Times New Roman" w:cs="Times New Roman"/>
                <w:b/>
                <w:bCs/>
                <w:i w:val="0"/>
                <w:sz w:val="22"/>
                <w:szCs w:val="22"/>
                <w:vertAlign w:val="baseline"/>
                <w:lang w:val="pt-BR"/>
              </w:rPr>
              <w:t>quantidade mínima estimada</w:t>
            </w:r>
          </w:p>
        </w:tc>
      </w:tr>
    </w:tbl>
    <w:p>
      <w:r>
        <w:drawing>
          <wp:anchor distT="0" distB="0" distL="114300" distR="114300" simplePos="0" relativeHeight="251661312" behindDoc="0" locked="0" layoutInCell="1" allowOverlap="1">
            <wp:simplePos x="0" y="0"/>
            <wp:positionH relativeFrom="column">
              <wp:posOffset>-19050</wp:posOffset>
            </wp:positionH>
            <wp:positionV relativeFrom="paragraph">
              <wp:posOffset>1995170</wp:posOffset>
            </wp:positionV>
            <wp:extent cx="4528185" cy="6522085"/>
            <wp:effectExtent l="0" t="0" r="5715" b="12065"/>
            <wp:wrapNone/>
            <wp:docPr id="3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
                    <pic:cNvPicPr>
                      <a:picLocks noChangeAspect="1"/>
                    </pic:cNvPicPr>
                  </pic:nvPicPr>
                  <pic:blipFill>
                    <a:blip r:embed="rId24"/>
                    <a:stretch>
                      <a:fillRect/>
                    </a:stretch>
                  </pic:blipFill>
                  <pic:spPr>
                    <a:xfrm>
                      <a:off x="0" y="0"/>
                      <a:ext cx="4528185" cy="6522085"/>
                    </a:xfrm>
                    <a:prstGeom prst="rect">
                      <a:avLst/>
                    </a:prstGeom>
                    <a:noFill/>
                    <a:ln>
                      <a:noFill/>
                    </a:ln>
                  </pic:spPr>
                </pic:pic>
              </a:graphicData>
            </a:graphic>
          </wp:anchor>
        </w:drawing>
      </w:r>
      <w:r>
        <w:drawing>
          <wp:inline distT="0" distB="0" distL="114300" distR="114300">
            <wp:extent cx="4568190" cy="1997075"/>
            <wp:effectExtent l="0" t="0" r="3810" b="3175"/>
            <wp:docPr id="3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1"/>
                    <pic:cNvPicPr>
                      <a:picLocks noChangeAspect="1"/>
                    </pic:cNvPicPr>
                  </pic:nvPicPr>
                  <pic:blipFill>
                    <a:blip r:embed="rId25"/>
                    <a:stretch>
                      <a:fillRect/>
                    </a:stretch>
                  </pic:blipFill>
                  <pic:spPr>
                    <a:xfrm>
                      <a:off x="0" y="0"/>
                      <a:ext cx="4568190" cy="1997075"/>
                    </a:xfrm>
                    <a:prstGeom prst="rect">
                      <a:avLst/>
                    </a:prstGeom>
                    <a:noFill/>
                    <a:ln>
                      <a:noFill/>
                    </a:ln>
                  </pic:spPr>
                </pic:pic>
              </a:graphicData>
            </a:graphic>
          </wp:inline>
        </w:drawing>
      </w:r>
    </w:p>
    <w:p>
      <w:pPr>
        <w:sectPr>
          <w:headerReference r:id="rId3" w:type="default"/>
          <w:footerReference r:id="rId4" w:type="default"/>
          <w:pgSz w:w="11906" w:h="16838"/>
          <w:pgMar w:top="1536" w:right="992" w:bottom="709" w:left="1797" w:header="284" w:footer="459" w:gutter="0"/>
          <w:cols w:space="425" w:num="1"/>
          <w:formProt w:val="0"/>
          <w:rtlGutter w:val="0"/>
          <w:docGrid w:linePitch="272" w:charSpace="0"/>
        </w:sectPr>
      </w:pPr>
    </w:p>
    <w:p>
      <w:pPr>
        <w:pStyle w:val="7"/>
        <w:jc w:val="center"/>
        <w:rPr>
          <w:rFonts w:ascii="Times New Roman" w:hAnsi="Times New Roman" w:cs="Times New Roman"/>
          <w:b/>
          <w:bCs/>
          <w:i w:val="0"/>
          <w:szCs w:val="24"/>
        </w:rPr>
      </w:pPr>
      <w:r>
        <w:drawing>
          <wp:inline distT="0" distB="0" distL="114300" distR="114300">
            <wp:extent cx="5075555" cy="3149600"/>
            <wp:effectExtent l="0" t="0" r="10795" b="12700"/>
            <wp:docPr id="3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4"/>
                    <pic:cNvPicPr>
                      <a:picLocks noChangeAspect="1"/>
                    </pic:cNvPicPr>
                  </pic:nvPicPr>
                  <pic:blipFill>
                    <a:blip r:embed="rId26"/>
                    <a:stretch>
                      <a:fillRect/>
                    </a:stretch>
                  </pic:blipFill>
                  <pic:spPr>
                    <a:xfrm>
                      <a:off x="0" y="0"/>
                      <a:ext cx="5075555" cy="314960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p>
    <w:p>
      <w:pPr>
        <w:rPr>
          <w:rFonts w:ascii="Times New Roman" w:hAnsi="Times New Roman" w:cs="Times New Roman"/>
          <w:b/>
          <w:bCs/>
          <w:i w:val="0"/>
          <w:szCs w:val="24"/>
        </w:rPr>
      </w:pPr>
      <w:r>
        <w:rPr>
          <w:rFonts w:ascii="Times New Roman" w:hAnsi="Times New Roman" w:cs="Times New Roman"/>
          <w:b/>
          <w:bCs/>
          <w:i w:val="0"/>
          <w:szCs w:val="24"/>
        </w:rPr>
        <w:br w:type="page"/>
      </w:r>
    </w:p>
    <w:p>
      <w:pPr>
        <w:pStyle w:val="7"/>
        <w:jc w:val="center"/>
        <w:rPr>
          <w:rFonts w:ascii="Times New Roman" w:hAnsi="Times New Roman" w:cs="Times New Roman"/>
          <w:b/>
          <w:bCs/>
          <w:i w:val="0"/>
          <w:szCs w:val="24"/>
        </w:rPr>
        <w:sectPr>
          <w:pgSz w:w="11906" w:h="16838"/>
          <w:pgMar w:top="1536" w:right="992" w:bottom="709" w:left="1797" w:header="284" w:footer="459" w:gutter="0"/>
          <w:cols w:space="425" w:num="1"/>
          <w:formProt w:val="0"/>
          <w:rtlGutter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7"/>
        <w:rPr>
          <w:rFonts w:eastAsia="Arial Unicode MS"/>
          <w:b/>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139/2021</w:t>
            </w:r>
            <w:r>
              <w:rPr>
                <w:rFonts w:eastAsia="Arial Unicode MS"/>
                <w:b/>
                <w:color w:val="FF0000"/>
                <w:sz w:val="22"/>
                <w:szCs w:val="22"/>
                <w:highlight w:val="yellow"/>
              </w:rPr>
              <w:t xml:space="preserve">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7"/>
        <w:ind w:left="142"/>
        <w:rPr>
          <w:bCs/>
          <w:sz w:val="24"/>
          <w:szCs w:val="24"/>
        </w:rPr>
      </w:pPr>
    </w:p>
    <w:tbl>
      <w:tblPr>
        <w:tblStyle w:val="12"/>
        <w:tblW w:w="14849" w:type="dxa"/>
        <w:tblInd w:w="-41" w:type="dxa"/>
        <w:tblLayout w:type="autofit"/>
        <w:tblCellMar>
          <w:top w:w="0" w:type="dxa"/>
          <w:left w:w="108" w:type="dxa"/>
          <w:bottom w:w="0" w:type="dxa"/>
          <w:right w:w="108" w:type="dxa"/>
        </w:tblCellMar>
      </w:tblPr>
      <w:tblGrid>
        <w:gridCol w:w="765"/>
        <w:gridCol w:w="819"/>
        <w:gridCol w:w="916"/>
        <w:gridCol w:w="674"/>
        <w:gridCol w:w="7164"/>
        <w:gridCol w:w="1577"/>
        <w:gridCol w:w="1320"/>
        <w:gridCol w:w="1614"/>
      </w:tblGrid>
      <w:tr>
        <w:tblPrEx>
          <w:tblCellMar>
            <w:top w:w="0" w:type="dxa"/>
            <w:left w:w="108" w:type="dxa"/>
            <w:bottom w:w="0" w:type="dxa"/>
            <w:right w:w="108" w:type="dxa"/>
          </w:tblCellMar>
        </w:tblPrEx>
        <w:trPr>
          <w:trHeight w:val="364" w:hRule="atLeast"/>
        </w:trPr>
        <w:tc>
          <w:tcPr>
            <w:tcW w:w="765" w:type="dxa"/>
            <w:tcBorders>
              <w:top w:val="single" w:color="000000" w:sz="6" w:space="0"/>
              <w:left w:val="single" w:color="000000" w:sz="6" w:space="0"/>
            </w:tcBorders>
          </w:tcPr>
          <w:p>
            <w:pPr>
              <w:spacing w:line="276" w:lineRule="auto"/>
              <w:jc w:val="center"/>
              <w:rPr>
                <w:b/>
                <w:i/>
              </w:rPr>
            </w:pPr>
          </w:p>
        </w:tc>
        <w:tc>
          <w:tcPr>
            <w:tcW w:w="819" w:type="dxa"/>
            <w:tcBorders>
              <w:top w:val="single" w:color="000000" w:sz="6" w:space="0"/>
              <w:left w:val="single" w:color="000000" w:sz="6" w:space="0"/>
            </w:tcBorders>
          </w:tcPr>
          <w:p>
            <w:pPr>
              <w:spacing w:line="276" w:lineRule="auto"/>
              <w:jc w:val="center"/>
            </w:pPr>
            <w:r>
              <w:rPr>
                <w:b/>
                <w:i/>
              </w:rPr>
              <w:t xml:space="preserve">SUB </w:t>
            </w:r>
            <w:r>
              <w:rPr>
                <w:rFonts w:eastAsia="Arial Unicode MS"/>
              </w:rPr>
              <w:t>ITEM</w:t>
            </w:r>
          </w:p>
        </w:tc>
        <w:tc>
          <w:tcPr>
            <w:tcW w:w="916"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74"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164" w:type="dxa"/>
            <w:tcBorders>
              <w:top w:val="single" w:color="000000" w:sz="6" w:space="0"/>
              <w:left w:val="single" w:color="000000" w:sz="6" w:space="0"/>
            </w:tcBorders>
          </w:tcPr>
          <w:p>
            <w:pPr>
              <w:spacing w:line="276" w:lineRule="auto"/>
              <w:jc w:val="center"/>
            </w:pPr>
            <w:r>
              <w:t xml:space="preserve">   </w:t>
            </w:r>
            <w:r>
              <w:rPr>
                <w:rFonts w:eastAsia="Arial Unicode MS"/>
              </w:rPr>
              <w:t>ESPECIFICAÇÃO</w:t>
            </w:r>
          </w:p>
        </w:tc>
        <w:tc>
          <w:tcPr>
            <w:tcW w:w="1577"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20"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614"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765" w:type="dxa"/>
            <w:vMerge w:val="restart"/>
            <w:tcBorders>
              <w:top w:val="single" w:color="000000" w:sz="4" w:space="0"/>
              <w:left w:val="single" w:color="000000" w:sz="4" w:space="0"/>
            </w:tcBorders>
          </w:tcPr>
          <w:p>
            <w:pPr>
              <w:spacing w:line="276" w:lineRule="auto"/>
              <w:jc w:val="center"/>
              <w:rPr>
                <w:rFonts w:eastAsia="Arial Unicode MS"/>
              </w:rPr>
            </w:pPr>
            <w:r>
              <w:rPr>
                <w:rFonts w:eastAsia="Arial Unicode MS"/>
              </w:rPr>
              <w:t xml:space="preserve">ITEM </w:t>
            </w:r>
          </w:p>
          <w:p>
            <w:pPr>
              <w:spacing w:line="276" w:lineRule="auto"/>
              <w:jc w:val="center"/>
              <w:rPr>
                <w:rFonts w:eastAsia="Arial Unicode MS"/>
              </w:rPr>
            </w:pPr>
          </w:p>
          <w:p>
            <w:pPr>
              <w:spacing w:line="276" w:lineRule="auto"/>
              <w:jc w:val="center"/>
              <w:rPr>
                <w:rFonts w:eastAsia="Arial Unicode MS"/>
              </w:rPr>
            </w:pPr>
          </w:p>
          <w:p>
            <w:pPr>
              <w:spacing w:line="276" w:lineRule="auto"/>
              <w:jc w:val="center"/>
              <w:rPr>
                <w:rFonts w:eastAsia="Arial Unicode MS"/>
              </w:rPr>
            </w:pPr>
          </w:p>
          <w:p>
            <w:pPr>
              <w:spacing w:line="276" w:lineRule="auto"/>
              <w:jc w:val="center"/>
              <w:rPr>
                <w:rFonts w:eastAsia="Arial Unicode MS"/>
              </w:rPr>
            </w:pPr>
          </w:p>
          <w:p>
            <w:pPr>
              <w:spacing w:line="276" w:lineRule="auto"/>
              <w:jc w:val="center"/>
              <w:rPr>
                <w:rFonts w:eastAsia="Arial Unicode MS"/>
              </w:rPr>
            </w:pPr>
          </w:p>
          <w:p>
            <w:pPr>
              <w:spacing w:line="276" w:lineRule="auto"/>
              <w:jc w:val="center"/>
              <w:rPr>
                <w:rFonts w:eastAsia="Arial Unicode MS"/>
              </w:rPr>
            </w:pPr>
          </w:p>
          <w:p>
            <w:pPr>
              <w:spacing w:line="276" w:lineRule="auto"/>
              <w:jc w:val="center"/>
              <w:rPr>
                <w:rFonts w:eastAsia="Arial Unicode MS"/>
              </w:rPr>
            </w:pPr>
          </w:p>
          <w:p>
            <w:pPr>
              <w:spacing w:line="276" w:lineRule="auto"/>
              <w:jc w:val="center"/>
              <w:rPr>
                <w:rFonts w:eastAsia="Arial Unicode MS"/>
              </w:rPr>
            </w:pPr>
          </w:p>
          <w:p>
            <w:pPr>
              <w:spacing w:line="276" w:lineRule="auto"/>
              <w:jc w:val="center"/>
              <w:rPr>
                <w:rFonts w:eastAsia="Arial Unicode MS"/>
              </w:rPr>
            </w:pPr>
          </w:p>
          <w:p>
            <w:pPr>
              <w:spacing w:line="276" w:lineRule="auto"/>
              <w:jc w:val="center"/>
              <w:rPr>
                <w:rFonts w:eastAsia="Arial Unicode MS"/>
              </w:rPr>
            </w:pPr>
          </w:p>
          <w:p>
            <w:pPr>
              <w:spacing w:line="276" w:lineRule="auto"/>
              <w:jc w:val="center"/>
              <w:rPr>
                <w:rFonts w:eastAsia="Arial Unicode MS"/>
              </w:rPr>
            </w:pPr>
          </w:p>
          <w:p>
            <w:pPr>
              <w:spacing w:line="276" w:lineRule="auto"/>
              <w:jc w:val="center"/>
              <w:rPr>
                <w:rFonts w:eastAsia="Arial Unicode MS"/>
              </w:rPr>
            </w:pPr>
            <w:r>
              <w:rPr>
                <w:rFonts w:eastAsia="Arial Unicode MS"/>
              </w:rPr>
              <w:t>001</w:t>
            </w:r>
          </w:p>
        </w:tc>
        <w:tc>
          <w:tcPr>
            <w:tcW w:w="81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1.1</w:t>
            </w:r>
          </w:p>
        </w:tc>
        <w:tc>
          <w:tcPr>
            <w:tcW w:w="916"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7.600,0</w:t>
            </w:r>
          </w:p>
        </w:tc>
        <w:tc>
          <w:tcPr>
            <w:tcW w:w="674"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TESTE DE ÁCIDO ÚRICO, CONFORME TERMO DE REFERÊNCIA.</w:t>
            </w:r>
          </w:p>
        </w:tc>
        <w:tc>
          <w:tcPr>
            <w:tcW w:w="1577"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20"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614"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1.2</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2.400,0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ALBUMINA,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1.3</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4.900,0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BILIRRUBINA DIRETA,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1.4</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BILIRRUBINA TOTAL,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1.5</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16.000,0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COLESTEROL,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1.6</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25.000,0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CREATININA,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1.7</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23.200,0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GLICOSE,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1.8</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13.000,0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HDL COLESTEROL,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9</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900,0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PROTEÍNAS TOTAIS,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10</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15.750,0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TRIGLICERÍDEOS,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11</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25.000,0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URÉIA,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12</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18.000,0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TRANSAMINASE GLUTÂMICO-PIRUVICA  (TGP),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13</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3.600,0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AMILASE,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14</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18.000,0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TRANSAMINASE GLUTÂMICO-OXALACÉTICA  (TGO),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15</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2.400,0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FOSFATASE ALCALINA,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16</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PROTEÍNA  C  REATIVA  (PCR),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17</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CK  TOTAL,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18</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CK-MB  (FRAÇÃO  MB),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bottom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19</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ALFA 1GLICOPROTEÍNA ÁCIDA,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restart"/>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20</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ASLO QUANTITATIVO,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21</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1.200,0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CÁLCIO,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22</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1.400,0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FATOR REUMATÓIDE QUANTITATIVO,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23</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CALCIO IÔNICO.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24</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GAMAGLUTAMILTRANSFERASE (GAMA GT).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25</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LACTATO DESIDROGENASE – LDH.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26</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3.500,0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MAGNÉSIO.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27</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POTÁSSIO ELETRODO SELETIVO.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28</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PROTEINAS TOTAIS URINA.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29</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SÓDIO ELETRODO SELETIVO.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vMerge w:val="continue"/>
            <w:tcBorders>
              <w:left w:val="single" w:color="000000" w:sz="4" w:space="0"/>
              <w:bottom w:val="single" w:color="000000" w:sz="4" w:space="0"/>
            </w:tcBorders>
          </w:tcPr>
          <w:p>
            <w:pPr>
              <w:spacing w:line="276" w:lineRule="auto"/>
              <w:jc w:val="center"/>
              <w:rPr>
                <w:rFonts w:eastAsia="Arial Unicode MS"/>
              </w:rPr>
            </w:pP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30</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2.500,0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D-DIMERO.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tcBorders>
              <w:left w:val="single" w:color="000000" w:sz="4" w:space="0"/>
              <w:bottom w:val="single" w:color="000000" w:sz="4" w:space="0"/>
            </w:tcBorders>
          </w:tcPr>
          <w:p>
            <w:pPr>
              <w:spacing w:line="276" w:lineRule="auto"/>
              <w:jc w:val="center"/>
              <w:rPr>
                <w:rFonts w:eastAsia="Arial Unicode MS"/>
              </w:rPr>
            </w:pPr>
            <w:r>
              <w:rPr>
                <w:rFonts w:eastAsia="Arial Unicode MS"/>
              </w:rPr>
              <w:t>002</w:t>
            </w: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31</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70.000,0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HEMOGRAMA COMPLETO.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765" w:type="dxa"/>
            <w:tcBorders>
              <w:left w:val="single" w:color="000000" w:sz="4" w:space="0"/>
              <w:bottom w:val="single" w:color="000000" w:sz="4" w:space="0"/>
            </w:tcBorders>
          </w:tcPr>
          <w:p>
            <w:pPr>
              <w:spacing w:line="276" w:lineRule="auto"/>
              <w:jc w:val="center"/>
              <w:rPr>
                <w:rFonts w:eastAsia="Arial Unicode MS"/>
              </w:rPr>
            </w:pPr>
            <w:r>
              <w:rPr>
                <w:rFonts w:eastAsia="Arial Unicode MS"/>
              </w:rPr>
              <w:t>003</w:t>
            </w:r>
          </w:p>
        </w:tc>
        <w:tc>
          <w:tcPr>
            <w:tcW w:w="81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32</w:t>
            </w:r>
          </w:p>
        </w:tc>
        <w:tc>
          <w:tcPr>
            <w:tcW w:w="916"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2.000,0</w:t>
            </w:r>
          </w:p>
        </w:tc>
        <w:tc>
          <w:tcPr>
            <w:tcW w:w="674"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164" w:type="dxa"/>
            <w:tcBorders>
              <w:left w:val="single" w:color="000000" w:sz="6" w:space="0"/>
              <w:bottom w:val="single" w:color="000000" w:sz="4" w:space="0"/>
            </w:tcBorders>
          </w:tcPr>
          <w:p>
            <w:pPr>
              <w:spacing w:line="276" w:lineRule="auto"/>
              <w:jc w:val="both"/>
              <w:rPr>
                <w:rFonts w:eastAsia="Arial Unicode MS"/>
              </w:rPr>
            </w:pPr>
            <w:r>
              <w:rPr>
                <w:rFonts w:eastAsia="Arial Unicode MS"/>
              </w:rPr>
              <w:t>TESTE DE VHS – VELOC.HEMOSSED. CONFORME TERMO DE REFERÊNCIA.</w:t>
            </w:r>
          </w:p>
        </w:tc>
        <w:tc>
          <w:tcPr>
            <w:tcW w:w="1577" w:type="dxa"/>
            <w:tcBorders>
              <w:left w:val="single" w:color="000000" w:sz="6" w:space="0"/>
              <w:bottom w:val="single" w:color="000000" w:sz="4" w:space="0"/>
            </w:tcBorders>
          </w:tcPr>
          <w:p>
            <w:pPr>
              <w:snapToGrid w:val="0"/>
              <w:spacing w:line="276" w:lineRule="auto"/>
              <w:jc w:val="center"/>
              <w:rPr>
                <w:rFonts w:eastAsia="Arial Unicode MS"/>
              </w:rPr>
            </w:pPr>
          </w:p>
        </w:tc>
        <w:tc>
          <w:tcPr>
            <w:tcW w:w="1320" w:type="dxa"/>
            <w:tcBorders>
              <w:left w:val="single" w:color="000000" w:sz="6" w:space="0"/>
              <w:bottom w:val="single" w:color="000000" w:sz="4" w:space="0"/>
            </w:tcBorders>
          </w:tcPr>
          <w:p>
            <w:pPr>
              <w:snapToGrid w:val="0"/>
              <w:spacing w:line="276" w:lineRule="auto"/>
              <w:jc w:val="center"/>
              <w:rPr>
                <w:rFonts w:eastAsia="Arial Unicode MS"/>
              </w:rPr>
            </w:pPr>
          </w:p>
        </w:tc>
        <w:tc>
          <w:tcPr>
            <w:tcW w:w="1614"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sz w:val="24"/>
                <w:szCs w:val="24"/>
              </w:rPr>
              <w:t xml:space="preserve">TOTAL GERAL R$ -                                                                                                                                              </w:t>
            </w:r>
          </w:p>
        </w:tc>
      </w:tr>
    </w:tbl>
    <w:p>
      <w:pPr>
        <w:spacing w:line="276" w:lineRule="auto"/>
        <w:ind w:left="-142"/>
        <w:jc w:val="both"/>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139/2021,</w:t>
      </w:r>
      <w:r>
        <w:rPr>
          <w:rFonts w:eastAsia="Arial Unicode MS"/>
          <w:sz w:val="24"/>
          <w:szCs w:val="24"/>
        </w:rPr>
        <w:t xml:space="preserve">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spacing w:line="276" w:lineRule="auto"/>
        <w:ind w:left="-142"/>
        <w:jc w:val="both"/>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center"/>
        <w:rPr>
          <w:rFonts w:eastAsia="Arial Unicode MS"/>
          <w:sz w:val="24"/>
          <w:szCs w:val="24"/>
        </w:rPr>
      </w:pPr>
      <w:r>
        <w:rPr>
          <w:rFonts w:eastAsia="Arial Unicode MS"/>
          <w:sz w:val="24"/>
          <w:szCs w:val="24"/>
        </w:rPr>
        <w:t>(Local)............................., data.................................de 2021.</w:t>
      </w: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sectPr>
          <w:pgSz w:w="16838" w:h="11906" w:orient="landscape"/>
          <w:pgMar w:top="1797" w:right="1536" w:bottom="992" w:left="709" w:header="284" w:footer="459" w:gutter="0"/>
          <w:cols w:space="0" w:num="1"/>
          <w:formProt w:val="0"/>
          <w:rtlGutter w:val="0"/>
          <w:docGrid w:linePitch="272" w:charSpace="0"/>
        </w:sectPr>
      </w:pPr>
      <w:r>
        <w:rPr>
          <w:rFonts w:eastAsia="Arial Unicode MS"/>
          <w:sz w:val="24"/>
          <w:szCs w:val="24"/>
        </w:rPr>
        <w:t>CPF nº...........................</w:t>
      </w: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b/>
          <w:bCs/>
          <w:sz w:val="24"/>
          <w:szCs w:val="24"/>
          <w:lang w:eastAsia="pt-BR"/>
        </w:rPr>
      </w:pPr>
      <w:r>
        <w:rPr>
          <w:b/>
          <w:bCs/>
          <w:sz w:val="24"/>
          <w:szCs w:val="24"/>
          <w:lang w:eastAsia="pt-BR"/>
        </w:rPr>
        <w:t>MINUTA DA ATA DE REGISTRO DE PREÇOS Nº. ______/2021</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246/2021 </w:t>
      </w:r>
    </w:p>
    <w:p>
      <w:pPr>
        <w:jc w:val="center"/>
      </w:pPr>
      <w:r>
        <w:rPr>
          <w:b/>
          <w:bCs/>
          <w:sz w:val="24"/>
          <w:szCs w:val="24"/>
          <w:lang w:eastAsia="pt-BR"/>
        </w:rPr>
        <w:t>PREGÃO PRESENCIAL Nº 139/ 2021</w:t>
      </w:r>
    </w:p>
    <w:p>
      <w:pPr>
        <w:jc w:val="center"/>
        <w:rPr>
          <w:b/>
          <w:bCs/>
          <w:sz w:val="24"/>
          <w:szCs w:val="24"/>
          <w:lang w:eastAsia="pt-BR"/>
        </w:rPr>
      </w:pPr>
    </w:p>
    <w:p>
      <w:pPr>
        <w:jc w:val="both"/>
        <w:rPr>
          <w:b/>
          <w:bCs/>
          <w:sz w:val="24"/>
          <w:szCs w:val="24"/>
          <w:lang w:eastAsia="pt-BR"/>
        </w:rPr>
      </w:pPr>
    </w:p>
    <w:p>
      <w:pPr>
        <w:pStyle w:val="8"/>
        <w:spacing w:before="0"/>
        <w:rPr>
          <w:rFonts w:ascii="Times New Roman" w:hAnsi="Times New Roman" w:cs="Times New Roman"/>
          <w:sz w:val="24"/>
          <w:szCs w:val="24"/>
        </w:rPr>
      </w:pPr>
      <w:r>
        <w:rPr>
          <w:rFonts w:ascii="Times New Roman" w:hAnsi="Times New Roman" w:cs="Times New Roman"/>
          <w:sz w:val="24"/>
          <w:szCs w:val="24"/>
        </w:rPr>
        <w:t>PREÂMBULO</w:t>
      </w:r>
    </w:p>
    <w:p>
      <w:pPr>
        <w:ind w:right="-97"/>
        <w:jc w:val="both"/>
        <w:rPr>
          <w:sz w:val="24"/>
          <w:szCs w:val="24"/>
          <w:lang w:eastAsia="pt-BR"/>
        </w:rPr>
      </w:pPr>
    </w:p>
    <w:p>
      <w:pPr>
        <w:jc w:val="both"/>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yellow"/>
        </w:rPr>
        <w:t>com sede a Praça Prefeito Euclides Antônio Fabris n.º 343, inscrita no CGC/MF sob o n.º 03.155.934/0001-90</w:t>
      </w:r>
      <w:r>
        <w:rPr>
          <w:sz w:val="24"/>
          <w:szCs w:val="24"/>
          <w:lang w:eastAsia="pt-BR"/>
        </w:rPr>
        <w:t xml:space="preserve">, </w:t>
      </w:r>
      <w:r>
        <w:rPr>
          <w:iCs/>
          <w:sz w:val="24"/>
          <w:szCs w:val="24"/>
          <w:highlight w:val="yellow"/>
          <w:lang w:eastAsia="pt-BR"/>
        </w:rPr>
        <w:t xml:space="preserve">por meio do Fundo Municipal de Saúde, </w:t>
      </w:r>
      <w:r>
        <w:rPr>
          <w:sz w:val="24"/>
          <w:szCs w:val="24"/>
          <w:lang w:eastAsia="pt-BR"/>
        </w:rPr>
        <w:t xml:space="preserve">neste ato representado por </w:t>
      </w:r>
      <w:r>
        <w:rPr>
          <w:iCs/>
          <w:sz w:val="24"/>
          <w:szCs w:val="24"/>
        </w:rPr>
        <w:t xml:space="preserve"> </w:t>
      </w:r>
      <w:r>
        <w:rPr>
          <w:b/>
          <w:sz w:val="24"/>
          <w:szCs w:val="24"/>
          <w:u w:val="single"/>
        </w:rPr>
        <w:t>Marcio Grei Alves Vidal de Figueiredo</w:t>
      </w:r>
      <w:r>
        <w:rPr>
          <w:sz w:val="24"/>
          <w:szCs w:val="24"/>
        </w:rPr>
        <w:t xml:space="preserve">, Gerente de Saúde e Ordenador de Despesas conforme Decreto nº. 052/2021, brasileiro, portador do CPF/MF nº. 613.705.841-72 e Cédula de Identidade RG nº. 828.899 SSP/MS, residente e domiciliado nesta cidade a Rua Riachuelo nº 450 – Centro. </w:t>
      </w:r>
      <w:r>
        <w:rPr>
          <w:iCs/>
          <w:sz w:val="24"/>
          <w:szCs w:val="24"/>
        </w:rPr>
        <w:t>C</w:t>
      </w:r>
      <w:r>
        <w:rPr>
          <w:sz w:val="24"/>
          <w:szCs w:val="24"/>
          <w:lang w:eastAsia="pt-BR"/>
        </w:rPr>
        <w:t>onsiderando o julgamento do PREGÃO PRESENCIAL PARA REGISTRO DE PREÇOS nº. 139</w:t>
      </w:r>
      <w:r>
        <w:rPr>
          <w:b/>
          <w:sz w:val="24"/>
          <w:szCs w:val="24"/>
          <w:lang w:eastAsia="pt-BR"/>
        </w:rPr>
        <w:t>/2021</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numPr>
          <w:ilvl w:val="1"/>
          <w:numId w:val="7"/>
        </w:numPr>
        <w:jc w:val="both"/>
        <w:rPr>
          <w:sz w:val="24"/>
          <w:szCs w:val="24"/>
          <w:lang w:eastAsia="pt-BR"/>
        </w:rPr>
      </w:pPr>
      <w:r>
        <w:rPr>
          <w:sz w:val="24"/>
          <w:szCs w:val="24"/>
          <w:lang w:eastAsia="pt-BR"/>
        </w:rPr>
        <w:t xml:space="preserve">- A presente Ata tem por objeto o </w:t>
      </w:r>
      <w:r>
        <w:rPr>
          <w:b/>
          <w:sz w:val="24"/>
          <w:szCs w:val="24"/>
          <w:lang w:eastAsia="pt-BR"/>
        </w:rPr>
        <w:t xml:space="preserve">REGISTRO DE PREÇOS OBJETIVANDO A AQUISIÇÃO FUTURA DE REAGENTES E INSUMOS LABORATORIAIS </w:t>
      </w:r>
      <w:r>
        <w:rPr>
          <w:b/>
          <w:sz w:val="24"/>
          <w:szCs w:val="24"/>
          <w:lang w:val="en-US" w:eastAsia="pt-BR"/>
        </w:rPr>
        <w:t>COM</w:t>
      </w:r>
      <w:r>
        <w:rPr>
          <w:b/>
          <w:sz w:val="24"/>
          <w:szCs w:val="24"/>
          <w:lang w:eastAsia="pt-BR"/>
        </w:rPr>
        <w:t xml:space="preserve"> MÁQUINAS EM COMODATO CONFORME TERMO DE REFERÊNCIA, PARA ATENDER DEMANDA DO LABORATÓRIO MUNICIPAL. SOLICITAÇÃO DA GERÊNCIA DE SAÚDE DO MUNICÍPIO DE NAVIRAÍ-MS. PEDIDO DE COMPRAS Nº 016/2021.</w:t>
      </w:r>
      <w:r>
        <w:rPr>
          <w:sz w:val="24"/>
          <w:szCs w:val="24"/>
          <w:lang w:eastAsia="pt-BR"/>
        </w:rPr>
        <w:t xml:space="preserve">, conforme as especificações da proposta de preços apresentada no Pregão Presencial n° </w:t>
      </w:r>
      <w:r>
        <w:rPr>
          <w:b/>
          <w:bCs/>
          <w:sz w:val="24"/>
          <w:szCs w:val="24"/>
          <w:lang w:eastAsia="pt-BR"/>
        </w:rPr>
        <w:t>139/</w:t>
      </w:r>
      <w:r>
        <w:rPr>
          <w:b/>
          <w:sz w:val="24"/>
          <w:szCs w:val="24"/>
          <w:lang w:eastAsia="pt-BR"/>
        </w:rPr>
        <w:t>2021</w:t>
      </w:r>
      <w:r>
        <w:rPr>
          <w:sz w:val="24"/>
          <w:szCs w:val="24"/>
          <w:lang w:eastAsia="pt-BR"/>
        </w:rPr>
        <w:t xml:space="preserve">, Processo n° </w:t>
      </w:r>
      <w:r>
        <w:rPr>
          <w:b/>
          <w:bCs/>
          <w:sz w:val="24"/>
          <w:szCs w:val="24"/>
          <w:lang w:eastAsia="pt-BR"/>
        </w:rPr>
        <w:t>246/</w:t>
      </w:r>
      <w:r>
        <w:rPr>
          <w:b/>
          <w:sz w:val="24"/>
          <w:szCs w:val="24"/>
          <w:lang w:eastAsia="pt-BR"/>
        </w:rPr>
        <w:t>2021</w:t>
      </w:r>
      <w:r>
        <w:rPr>
          <w:sz w:val="24"/>
          <w:szCs w:val="24"/>
          <w:lang w:eastAsia="pt-BR"/>
        </w:rPr>
        <w:t>, os quais, independentemente de transcrição, fazem parte deste instrumento, naquilo que não o contrarie.</w:t>
      </w:r>
    </w:p>
    <w:p>
      <w:pPr>
        <w:jc w:val="both"/>
        <w:rPr>
          <w:sz w:val="24"/>
          <w:szCs w:val="24"/>
          <w:lang w:eastAsia="pt-BR"/>
        </w:rPr>
      </w:pPr>
    </w:p>
    <w:p>
      <w:pPr>
        <w:jc w:val="both"/>
        <w:rPr>
          <w:sz w:val="24"/>
          <w:szCs w:val="24"/>
          <w:lang w:eastAsia="pt-BR"/>
        </w:rPr>
      </w:pPr>
      <w:r>
        <w:rPr>
          <w:b/>
          <w:sz w:val="24"/>
          <w:szCs w:val="24"/>
          <w:lang w:val="en-US" w:eastAsia="pt-BR"/>
        </w:rPr>
        <w:t xml:space="preserve">1.2 </w:t>
      </w:r>
      <w:r>
        <w:rPr>
          <w:bCs/>
          <w:sz w:val="24"/>
          <w:szCs w:val="24"/>
          <w:lang w:eastAsia="pt-BR"/>
        </w:rPr>
        <w:t xml:space="preserve">O Termo de Referencia com informações detalhadas do objeto que compõe esse instrumento, esta disponível para consulta no </w:t>
      </w:r>
      <w:r>
        <w:rPr>
          <w:b/>
          <w:bCs/>
          <w:sz w:val="24"/>
          <w:szCs w:val="24"/>
          <w:u w:val="single"/>
          <w:lang w:eastAsia="pt-BR"/>
        </w:rPr>
        <w:t xml:space="preserve">ANEXO I </w:t>
      </w:r>
      <w:r>
        <w:rPr>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3"/>
          <w:bCs/>
          <w:sz w:val="24"/>
          <w:szCs w:val="24"/>
          <w:lang w:eastAsia="pt-BR"/>
        </w:rPr>
        <w:t>https://transparencia.navirai.ms.gov.br/licitacao/</w:t>
      </w:r>
      <w:r>
        <w:rPr>
          <w:rStyle w:val="13"/>
          <w:bCs/>
          <w:sz w:val="24"/>
          <w:szCs w:val="24"/>
          <w:lang w:eastAsia="pt-BR"/>
        </w:rPr>
        <w:fldChar w:fldCharType="end"/>
      </w:r>
    </w:p>
    <w:p>
      <w:pPr>
        <w:jc w:val="both"/>
        <w:rPr>
          <w:b/>
          <w:bCs/>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15 (quinze)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jc w:val="both"/>
        <w:rPr>
          <w:sz w:val="24"/>
          <w:szCs w:val="24"/>
          <w:lang w:eastAsia="pt-BR"/>
        </w:rPr>
      </w:pPr>
    </w:p>
    <w:p>
      <w:pPr>
        <w:ind w:left="30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jc w:val="both"/>
        <w:rPr>
          <w:sz w:val="24"/>
          <w:szCs w:val="24"/>
          <w:lang w:eastAsia="pt-BR"/>
        </w:rPr>
      </w:pPr>
    </w:p>
    <w:p>
      <w:pPr>
        <w:ind w:left="300"/>
        <w:jc w:val="both"/>
        <w:rPr>
          <w:sz w:val="24"/>
          <w:szCs w:val="24"/>
          <w:lang w:eastAsia="pt-BR"/>
        </w:rPr>
      </w:pPr>
      <w:r>
        <w:rPr>
          <w:sz w:val="24"/>
          <w:szCs w:val="24"/>
          <w:lang w:eastAsia="pt-BR"/>
        </w:rPr>
        <w:t>c) notificar o fornecedor registrado, via fax ou telefone, para retirada da nota de empenho;</w:t>
      </w:r>
    </w:p>
    <w:p>
      <w:pPr>
        <w:ind w:left="300"/>
        <w:jc w:val="both"/>
        <w:rPr>
          <w:sz w:val="24"/>
          <w:szCs w:val="24"/>
          <w:lang w:eastAsia="pt-BR"/>
        </w:rPr>
      </w:pPr>
    </w:p>
    <w:p>
      <w:pPr>
        <w:ind w:left="30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jc w:val="both"/>
        <w:rPr>
          <w:sz w:val="24"/>
          <w:szCs w:val="24"/>
          <w:lang w:eastAsia="pt-BR"/>
        </w:rPr>
      </w:pPr>
    </w:p>
    <w:p>
      <w:pPr>
        <w:ind w:left="30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jc w:val="both"/>
        <w:rPr>
          <w:sz w:val="24"/>
          <w:szCs w:val="24"/>
          <w:lang w:eastAsia="pt-BR"/>
        </w:rPr>
      </w:pPr>
    </w:p>
    <w:p>
      <w:pPr>
        <w:ind w:left="30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jc w:val="both"/>
      </w:pPr>
      <w:r>
        <w:rPr>
          <w:b/>
          <w:bCs/>
          <w:sz w:val="24"/>
          <w:szCs w:val="24"/>
          <w:lang w:eastAsia="pt-BR"/>
        </w:rPr>
        <w:t xml:space="preserve">I) </w:t>
      </w:r>
      <w:r>
        <w:rPr>
          <w:sz w:val="24"/>
          <w:szCs w:val="24"/>
          <w:lang w:eastAsia="pt-BR"/>
        </w:rPr>
        <w:t>Por iniciativa da Administração:</w:t>
      </w:r>
    </w:p>
    <w:p>
      <w:pPr>
        <w:ind w:left="300"/>
        <w:jc w:val="both"/>
        <w:rPr>
          <w:sz w:val="24"/>
          <w:szCs w:val="24"/>
          <w:lang w:eastAsia="pt-BR"/>
        </w:rPr>
      </w:pPr>
    </w:p>
    <w:p>
      <w:pPr>
        <w:ind w:left="60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jc w:val="both"/>
        <w:rPr>
          <w:sz w:val="24"/>
          <w:szCs w:val="24"/>
          <w:lang w:eastAsia="pt-BR"/>
        </w:rPr>
      </w:pPr>
    </w:p>
    <w:p>
      <w:pPr>
        <w:ind w:left="600"/>
        <w:jc w:val="both"/>
        <w:rPr>
          <w:sz w:val="24"/>
          <w:szCs w:val="24"/>
          <w:lang w:eastAsia="pt-BR"/>
        </w:rPr>
      </w:pPr>
      <w:r>
        <w:rPr>
          <w:sz w:val="24"/>
          <w:szCs w:val="24"/>
          <w:lang w:eastAsia="pt-BR"/>
        </w:rPr>
        <w:t>b) se os preços registrados estiverem superiores aos praticados no mercado.</w:t>
      </w:r>
    </w:p>
    <w:p>
      <w:pPr>
        <w:ind w:left="600"/>
        <w:jc w:val="both"/>
        <w:rPr>
          <w:b/>
          <w:bCs/>
          <w:sz w:val="24"/>
          <w:szCs w:val="24"/>
          <w:lang w:eastAsia="pt-BR"/>
        </w:rPr>
      </w:pPr>
    </w:p>
    <w:p>
      <w:pPr>
        <w:ind w:left="30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jc w:val="both"/>
        <w:rPr>
          <w:sz w:val="24"/>
          <w:szCs w:val="24"/>
          <w:lang w:eastAsia="pt-BR"/>
        </w:rPr>
      </w:pPr>
    </w:p>
    <w:p>
      <w:pPr>
        <w:ind w:left="60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pPr>
      <w:r>
        <w:rPr>
          <w:b/>
          <w:bCs/>
          <w:sz w:val="24"/>
          <w:szCs w:val="24"/>
        </w:rPr>
        <w:t>7.1</w:t>
      </w:r>
      <w:r>
        <w:rPr>
          <w:sz w:val="24"/>
          <w:szCs w:val="24"/>
        </w:rPr>
        <w:t xml:space="preserve"> – Os itens licitados serão solicitados conforme a necessidade da Gerência, e deverão ser entregues no </w:t>
      </w:r>
      <w:r>
        <w:rPr>
          <w:sz w:val="24"/>
          <w:szCs w:val="24"/>
          <w:highlight w:val="yellow"/>
        </w:rPr>
        <w:t>Local indicado na Ordem de Fornecimento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pPr>
      <w:r>
        <w:rPr>
          <w:b/>
          <w:iCs/>
          <w:sz w:val="24"/>
          <w:szCs w:val="24"/>
        </w:rPr>
        <w:t>8.1</w:t>
      </w:r>
      <w:r>
        <w:rPr>
          <w:b/>
          <w:bCs/>
          <w:sz w:val="24"/>
          <w:szCs w:val="24"/>
        </w:rPr>
        <w:t>.2</w:t>
      </w:r>
      <w:r>
        <w:rPr>
          <w:sz w:val="24"/>
          <w:szCs w:val="24"/>
        </w:rPr>
        <w:t xml:space="preserve"> Prova de regularidade para com a Fazenda Estadual por meio da apresentação de Certidão Negativa ou Positiva com efeito de Negativa;</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.3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.4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jc w:val="both"/>
        <w:rPr>
          <w:bCs/>
          <w:sz w:val="24"/>
          <w:szCs w:val="24"/>
          <w:lang w:eastAsia="pt-BR"/>
        </w:rPr>
      </w:pPr>
    </w:p>
    <w:p>
      <w:pPr>
        <w:ind w:left="360"/>
        <w:jc w:val="both"/>
        <w:rPr>
          <w:bCs/>
          <w:sz w:val="24"/>
          <w:szCs w:val="24"/>
          <w:lang w:eastAsia="pt-BR"/>
        </w:rPr>
      </w:pPr>
      <w:r>
        <w:rPr>
          <w:bCs/>
          <w:sz w:val="24"/>
          <w:szCs w:val="24"/>
          <w:lang w:eastAsia="pt-BR"/>
        </w:rPr>
        <w:t xml:space="preserve">I - advertência; </w:t>
      </w:r>
    </w:p>
    <w:p>
      <w:pPr>
        <w:ind w:left="360"/>
        <w:jc w:val="both"/>
        <w:rPr>
          <w:bCs/>
          <w:sz w:val="24"/>
          <w:szCs w:val="24"/>
          <w:lang w:eastAsia="pt-BR"/>
        </w:rPr>
      </w:pPr>
    </w:p>
    <w:p>
      <w:pPr>
        <w:ind w:left="36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jc w:val="both"/>
        <w:rPr>
          <w:b/>
          <w:sz w:val="24"/>
          <w:szCs w:val="24"/>
          <w:lang w:eastAsia="pt-BR"/>
        </w:rPr>
      </w:pPr>
    </w:p>
    <w:p>
      <w:pPr>
        <w:ind w:left="36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jc w:val="both"/>
        <w:rPr>
          <w:bCs/>
          <w:sz w:val="24"/>
          <w:szCs w:val="24"/>
          <w:lang w:eastAsia="pt-BR"/>
        </w:rPr>
      </w:pPr>
    </w:p>
    <w:p>
      <w:pPr>
        <w:ind w:left="36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jc w:val="both"/>
        <w:rPr>
          <w:sz w:val="24"/>
          <w:szCs w:val="24"/>
          <w:lang w:eastAsia="pt-BR"/>
        </w:rPr>
      </w:pPr>
    </w:p>
    <w:p>
      <w:pPr>
        <w:ind w:left="30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5"/>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10"/>
        </w:rPr>
        <w:t>www.navirai.ms.gov.br/licitacoes</w:t>
      </w:r>
      <w:r>
        <w:rPr>
          <w:rStyle w:val="210"/>
        </w:rPr>
        <w:fldChar w:fldCharType="end"/>
      </w:r>
      <w:r>
        <w:t xml:space="preserve"> </w:t>
      </w:r>
    </w:p>
    <w:p>
      <w:pPr>
        <w:pStyle w:val="15"/>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Layout w:type="autofit"/>
        <w:tblCellMar>
          <w:top w:w="0" w:type="dxa"/>
          <w:left w:w="108" w:type="dxa"/>
          <w:bottom w:w="0" w:type="dxa"/>
          <w:right w:w="108" w:type="dxa"/>
        </w:tblCellMar>
      </w:tblPr>
      <w:tblGrid>
        <w:gridCol w:w="5778"/>
        <w:gridCol w:w="3696"/>
      </w:tblGrid>
      <w:tr>
        <w:tblPrEx>
          <w:tblCellMar>
            <w:top w:w="0" w:type="dxa"/>
            <w:left w:w="108" w:type="dxa"/>
            <w:bottom w:w="0" w:type="dxa"/>
            <w:right w:w="108" w:type="dxa"/>
          </w:tblCellMar>
        </w:tblPrEx>
        <w:tc>
          <w:tcPr>
            <w:tcW w:w="5778" w:type="dxa"/>
          </w:tcPr>
          <w:p>
            <w:pPr>
              <w:widowControl w:val="0"/>
              <w:tabs>
                <w:tab w:val="left" w:pos="5562"/>
              </w:tabs>
              <w:overflowPunct/>
              <w:autoSpaceDE/>
              <w:spacing w:line="276" w:lineRule="auto"/>
              <w:ind w:right="33"/>
              <w:jc w:val="center"/>
              <w:rPr>
                <w:b/>
                <w:sz w:val="22"/>
                <w:szCs w:val="24"/>
                <w:lang w:eastAsia="pt-BR"/>
              </w:rPr>
            </w:pPr>
            <w:r>
              <w:rPr>
                <w:b/>
                <w:sz w:val="22"/>
                <w:szCs w:val="24"/>
                <w:lang w:eastAsia="pt-BR"/>
              </w:rPr>
              <w:t>MÁRCIO GREI ALVES VIDAL DE FIGUEIREDO</w:t>
            </w:r>
          </w:p>
          <w:p>
            <w:pPr>
              <w:widowControl w:val="0"/>
              <w:tabs>
                <w:tab w:val="left" w:pos="5562"/>
              </w:tabs>
              <w:overflowPunct/>
              <w:autoSpaceDE/>
              <w:spacing w:line="276" w:lineRule="auto"/>
              <w:ind w:right="33"/>
              <w:jc w:val="center"/>
              <w:rPr>
                <w:rFonts w:eastAsia="MS Mincho;ＭＳ 明朝"/>
                <w:b/>
                <w:sz w:val="22"/>
                <w:szCs w:val="22"/>
              </w:rPr>
            </w:pPr>
            <w:r>
              <w:rPr>
                <w:rFonts w:eastAsia="MS Mincho;ＭＳ 明朝"/>
                <w:b/>
                <w:sz w:val="22"/>
                <w:szCs w:val="22"/>
              </w:rPr>
              <w:t>Gerente de Saúde e Ordenador de Despesas</w:t>
            </w:r>
          </w:p>
          <w:p>
            <w:pPr>
              <w:widowControl w:val="0"/>
              <w:tabs>
                <w:tab w:val="left" w:pos="5562"/>
              </w:tabs>
              <w:ind w:right="33"/>
              <w:jc w:val="center"/>
              <w:rPr>
                <w:rFonts w:eastAsia="MS Mincho;ＭＳ 明朝"/>
                <w:b/>
                <w:sz w:val="22"/>
                <w:szCs w:val="22"/>
              </w:rPr>
            </w:pPr>
            <w:r>
              <w:rPr>
                <w:rFonts w:eastAsia="MS Mincho;ＭＳ 明朝"/>
                <w:b/>
                <w:sz w:val="22"/>
                <w:szCs w:val="22"/>
              </w:rPr>
              <w:t>Conforme Decreto nº. 052/2021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center"/>
        <w:rPr>
          <w:b/>
          <w:bCs/>
          <w:sz w:val="24"/>
          <w:szCs w:val="24"/>
          <w:lang w:eastAsia="pt-BR"/>
        </w:rPr>
      </w:pPr>
      <w:r>
        <w:rPr>
          <w:b/>
          <w:bCs/>
          <w:sz w:val="24"/>
          <w:szCs w:val="24"/>
          <w:lang w:eastAsia="pt-BR"/>
        </w:rPr>
        <w:t>ANEXO I DA ATA DE REGISTRO DE PREÇOS Nº. _____/2021.</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 139</w:t>
      </w:r>
      <w:r>
        <w:rPr>
          <w:b/>
          <w:sz w:val="24"/>
          <w:szCs w:val="24"/>
          <w:lang w:eastAsia="pt-BR"/>
        </w:rPr>
        <w:t>/2021</w:t>
      </w:r>
      <w:r>
        <w:rPr>
          <w:sz w:val="24"/>
          <w:szCs w:val="24"/>
          <w:lang w:eastAsia="pt-BR"/>
        </w:rPr>
        <w:t xml:space="preserve"> – Processo nº. 246</w:t>
      </w:r>
      <w:r>
        <w:rPr>
          <w:b/>
          <w:sz w:val="24"/>
          <w:szCs w:val="24"/>
          <w:lang w:eastAsia="pt-BR"/>
        </w:rPr>
        <w:t>/2021</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p>
      <w:pPr>
        <w:jc w:val="both"/>
      </w:pP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t>.</w:t>
      </w:r>
    </w:p>
    <w:p>
      <w:pPr>
        <w:jc w:val="right"/>
      </w:pPr>
    </w:p>
    <w:tbl>
      <w:tblPr>
        <w:tblStyle w:val="12"/>
        <w:tblW w:w="9474" w:type="dxa"/>
        <w:tblInd w:w="-5" w:type="dxa"/>
        <w:tblLayout w:type="autofit"/>
        <w:tblCellMar>
          <w:top w:w="0" w:type="dxa"/>
          <w:left w:w="108" w:type="dxa"/>
          <w:bottom w:w="0" w:type="dxa"/>
          <w:right w:w="108" w:type="dxa"/>
        </w:tblCellMar>
      </w:tblPr>
      <w:tblGrid>
        <w:gridCol w:w="5778"/>
        <w:gridCol w:w="3696"/>
      </w:tblGrid>
      <w:tr>
        <w:tblPrEx>
          <w:tblCellMar>
            <w:top w:w="0" w:type="dxa"/>
            <w:left w:w="108" w:type="dxa"/>
            <w:bottom w:w="0" w:type="dxa"/>
            <w:right w:w="108" w:type="dxa"/>
          </w:tblCellMar>
        </w:tblPrEx>
        <w:tc>
          <w:tcPr>
            <w:tcW w:w="5778" w:type="dxa"/>
          </w:tcPr>
          <w:p>
            <w:pPr>
              <w:widowControl w:val="0"/>
              <w:tabs>
                <w:tab w:val="left" w:pos="5562"/>
              </w:tabs>
              <w:overflowPunct/>
              <w:autoSpaceDE/>
              <w:spacing w:line="276" w:lineRule="auto"/>
              <w:ind w:right="33"/>
              <w:jc w:val="center"/>
              <w:rPr>
                <w:b/>
                <w:sz w:val="22"/>
                <w:szCs w:val="24"/>
                <w:lang w:eastAsia="pt-BR"/>
              </w:rPr>
            </w:pPr>
            <w:r>
              <w:rPr>
                <w:b/>
                <w:sz w:val="22"/>
                <w:szCs w:val="24"/>
                <w:lang w:eastAsia="pt-BR"/>
              </w:rPr>
              <w:t>MÁRCIO GREI ALVES VIDAL DE FIGUEIREDO</w:t>
            </w:r>
          </w:p>
          <w:p>
            <w:pPr>
              <w:widowControl w:val="0"/>
              <w:tabs>
                <w:tab w:val="left" w:pos="5562"/>
              </w:tabs>
              <w:overflowPunct/>
              <w:autoSpaceDE/>
              <w:spacing w:line="276" w:lineRule="auto"/>
              <w:ind w:right="33"/>
              <w:jc w:val="center"/>
              <w:rPr>
                <w:rFonts w:eastAsia="MS Mincho;ＭＳ 明朝"/>
                <w:b/>
                <w:sz w:val="22"/>
                <w:szCs w:val="22"/>
              </w:rPr>
            </w:pPr>
            <w:r>
              <w:rPr>
                <w:rFonts w:eastAsia="MS Mincho;ＭＳ 明朝"/>
                <w:b/>
                <w:sz w:val="22"/>
                <w:szCs w:val="22"/>
              </w:rPr>
              <w:t>Gerente de Saúde e Ordenador de Despesas</w:t>
            </w:r>
          </w:p>
          <w:p>
            <w:pPr>
              <w:widowControl w:val="0"/>
              <w:tabs>
                <w:tab w:val="left" w:pos="5562"/>
              </w:tabs>
              <w:ind w:right="33"/>
              <w:jc w:val="center"/>
              <w:rPr>
                <w:rFonts w:eastAsia="MS Mincho;ＭＳ 明朝"/>
                <w:b/>
                <w:sz w:val="22"/>
                <w:szCs w:val="22"/>
              </w:rPr>
            </w:pPr>
            <w:r>
              <w:rPr>
                <w:rFonts w:eastAsia="MS Mincho;ＭＳ 明朝"/>
                <w:b/>
                <w:sz w:val="22"/>
                <w:szCs w:val="22"/>
              </w:rPr>
              <w:t>Conforme Decreto nº. 052/2021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pPr>
      <w:r>
        <w:rPr>
          <w:b/>
          <w:bCs/>
          <w:sz w:val="24"/>
          <w:szCs w:val="24"/>
        </w:rPr>
        <w:t xml:space="preserve">PREGÃO PRESENCIAL Nº 139/2021 </w:t>
      </w:r>
    </w:p>
    <w:p>
      <w:pPr>
        <w:pStyle w:val="7"/>
        <w:ind w:right="-568"/>
        <w:jc w:val="center"/>
        <w:rPr>
          <w:rFonts w:ascii="Times New Roman" w:hAnsi="Times New Roman" w:cs="Times New Roman"/>
          <w:b/>
          <w:bCs/>
          <w:i w:val="0"/>
          <w:szCs w:val="24"/>
        </w:rPr>
      </w:pPr>
    </w:p>
    <w:p>
      <w:pPr>
        <w:rPr>
          <w:i/>
          <w:szCs w:val="24"/>
          <w:lang w:eastAsia="pt-BR"/>
        </w:rPr>
      </w:pPr>
    </w:p>
    <w:p>
      <w:pPr>
        <w:pStyle w:val="7"/>
        <w:ind w:right="-568"/>
        <w:jc w:val="center"/>
        <w:rPr>
          <w:rFonts w:ascii="Times New Roman" w:hAnsi="Times New Roman" w:cs="Times New Roman"/>
          <w:i w:val="0"/>
          <w:szCs w:val="24"/>
        </w:rPr>
      </w:pPr>
      <w:r>
        <w:rPr>
          <w:rFonts w:ascii="Times New Roman" w:hAnsi="Times New Roman" w:cs="Times New Roman"/>
          <w:i w:val="0"/>
          <w:szCs w:val="24"/>
        </w:rPr>
        <w:t>ANEXO IV</w:t>
      </w:r>
    </w:p>
    <w:p>
      <w:pPr>
        <w:rPr>
          <w:rFonts w:eastAsia="Arial Unicode MS"/>
          <w:i/>
          <w:szCs w:val="24"/>
          <w:lang w:eastAsia="pt-BR"/>
        </w:rPr>
      </w:pPr>
    </w:p>
    <w:p>
      <w:pPr>
        <w:widowControl w:val="0"/>
        <w:ind w:right="-568"/>
        <w:jc w:val="center"/>
        <w:rPr>
          <w:rFonts w:eastAsia="Arial Unicode MS"/>
          <w:b/>
          <w:sz w:val="24"/>
          <w:szCs w:val="24"/>
          <w:lang w:eastAsia="pt-BR"/>
        </w:rPr>
      </w:pPr>
    </w:p>
    <w:p>
      <w:pPr>
        <w:widowControl w:val="0"/>
        <w:ind w:right="-568"/>
        <w:jc w:val="center"/>
        <w:rPr>
          <w:b/>
          <w:iCs/>
          <w:sz w:val="24"/>
          <w:szCs w:val="24"/>
        </w:rPr>
      </w:pPr>
      <w:r>
        <w:rPr>
          <w:b/>
          <w:iCs/>
          <w:sz w:val="24"/>
          <w:szCs w:val="24"/>
        </w:rPr>
        <w:t xml:space="preserve">MINUTA DO CONTRATO Nº. ____/_______ </w:t>
      </w:r>
    </w:p>
    <w:p>
      <w:pPr>
        <w:widowControl w:val="0"/>
        <w:ind w:right="-568"/>
        <w:jc w:val="both"/>
        <w:rPr>
          <w:b/>
          <w:iCs/>
          <w:sz w:val="24"/>
          <w:szCs w:val="24"/>
        </w:rPr>
      </w:pPr>
    </w:p>
    <w:p>
      <w:pPr>
        <w:pStyle w:val="26"/>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jc w:val="both"/>
      </w:pPr>
      <w:r>
        <w:rPr>
          <w:iCs/>
          <w:sz w:val="24"/>
          <w:szCs w:val="24"/>
        </w:rPr>
        <w:t xml:space="preserve">I - </w:t>
      </w:r>
      <w:r>
        <w:rPr>
          <w:iCs/>
          <w:sz w:val="24"/>
          <w:szCs w:val="24"/>
        </w:rPr>
        <w:tab/>
      </w:r>
      <w:r>
        <w:rPr>
          <w:iCs/>
          <w:sz w:val="24"/>
          <w:szCs w:val="24"/>
        </w:rPr>
        <w:t xml:space="preserve">CONTRATANTE: PREFEITURA DE NAVIRAÍ, Pessoa Jurídica de Direito Público Interno, </w:t>
      </w:r>
      <w:r>
        <w:rPr>
          <w:iCs/>
          <w:sz w:val="24"/>
          <w:szCs w:val="24"/>
          <w:highlight w:val="yellow"/>
        </w:rPr>
        <w:t>com sede a Praça Prefeito Euclides Antônio Fabris n.º 343, inscrita no CGC/MF sob o n.º 03.155.934/0001-90</w:t>
      </w:r>
      <w:r>
        <w:rPr>
          <w:iCs/>
          <w:sz w:val="24"/>
          <w:szCs w:val="24"/>
        </w:rPr>
        <w:t xml:space="preserve">, </w:t>
      </w:r>
      <w:r>
        <w:rPr>
          <w:iCs/>
          <w:sz w:val="24"/>
          <w:szCs w:val="24"/>
          <w:highlight w:val="yellow"/>
        </w:rPr>
        <w:t>por meio do Fundo Municipal de Saúde, com sede a Avenida Amélia Fukuda nº. 100, inscrito no CGC/MF sob o n.º 11.221.619/0001-42</w:t>
      </w:r>
      <w:r>
        <w:rPr>
          <w:iCs/>
          <w:sz w:val="24"/>
          <w:szCs w:val="24"/>
        </w:rPr>
        <w:t>,doravante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sz w:val="24"/>
          <w:szCs w:val="24"/>
          <w:u w:val="single"/>
        </w:rPr>
        <w:t>Marcio Grei Alves Vidal de Figueiredo</w:t>
      </w:r>
      <w:r>
        <w:rPr>
          <w:sz w:val="24"/>
          <w:szCs w:val="24"/>
        </w:rPr>
        <w:t>, Gerente de Saúde e Ordenador de Despesas conforme Decreto nº. 052/2021, brasileiro, portador do CPF/MF nº. 613.705.841-72 e Cédula de Identidade RG nº. 828.899 SSP/MS, residente e domiciliado nesta cidade a Rua Riachuelo nº 450 – Centro</w:t>
      </w:r>
      <w:r>
        <w:rPr>
          <w:iCs/>
          <w:sz w:val="24"/>
          <w:szCs w:val="24"/>
        </w:rPr>
        <w:t>, e representa a CONTRATADA o(a)  Sr (a) ............................, brasileiro (a), portador (a) do CPF/MF nº ....  e Cédula de Identidade RG, residente e domiciliado ....., a Rua. ......................., ............. – bairro....</w:t>
      </w:r>
    </w:p>
    <w:p>
      <w:pPr>
        <w:tabs>
          <w:tab w:val="left" w:pos="-3686"/>
        </w:tabs>
        <w:jc w:val="both"/>
        <w:rPr>
          <w:iCs/>
          <w:sz w:val="24"/>
          <w:szCs w:val="24"/>
        </w:rPr>
      </w:pPr>
    </w:p>
    <w:p>
      <w:pPr>
        <w:pStyle w:val="16"/>
        <w:ind w:left="0" w:right="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246/2021</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139/2021</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PARÁGRAFO ÚNICO: Cada Gerente subscreve este contrato com a responsabilidade adstrita ao quantitativo adquirido por sua respectiva Gerência.</w:t>
      </w:r>
    </w:p>
    <w:p>
      <w:pPr>
        <w:widowControl w:val="0"/>
        <w:jc w:val="both"/>
        <w:rPr>
          <w:iCs/>
          <w:sz w:val="24"/>
          <w:szCs w:val="24"/>
        </w:rPr>
      </w:pPr>
    </w:p>
    <w:p>
      <w:pPr>
        <w:widowControl w:val="0"/>
        <w:ind w:right="-568"/>
        <w:jc w:val="both"/>
        <w:rPr>
          <w:b/>
          <w:iCs/>
          <w:sz w:val="24"/>
          <w:szCs w:val="24"/>
        </w:rPr>
      </w:pPr>
      <w:r>
        <w:rPr>
          <w:b/>
          <w:iCs/>
          <w:sz w:val="24"/>
          <w:szCs w:val="24"/>
        </w:rPr>
        <w:t>CLÁUSULA PRIMEIRA - DO OBJETO</w:t>
      </w:r>
    </w:p>
    <w:p>
      <w:pPr>
        <w:widowControl w:val="0"/>
        <w:ind w:right="-568"/>
        <w:jc w:val="both"/>
        <w:rPr>
          <w:b/>
          <w:iCs/>
          <w:sz w:val="24"/>
          <w:szCs w:val="24"/>
        </w:rPr>
      </w:pPr>
    </w:p>
    <w:p>
      <w:pPr>
        <w:widowControl w:val="0"/>
        <w:numPr>
          <w:ilvl w:val="1"/>
          <w:numId w:val="8"/>
        </w:numPr>
        <w:tabs>
          <w:tab w:val="left" w:pos="1440"/>
        </w:tabs>
        <w:ind w:left="0" w:firstLine="0"/>
        <w:jc w:val="both"/>
        <w:textAlignment w:val="auto"/>
      </w:pPr>
      <w:r>
        <w:rPr>
          <w:iCs/>
          <w:sz w:val="24"/>
          <w:szCs w:val="24"/>
        </w:rPr>
        <w:t xml:space="preserve">Constitui objeto deste Contrato a </w:t>
      </w:r>
      <w:r>
        <w:rPr>
          <w:b/>
          <w:iCs/>
          <w:sz w:val="24"/>
          <w:szCs w:val="24"/>
        </w:rPr>
        <w:t>AQUISIÇÃO DE REAGENTES E INSUMOS LABORATORIAIS COM MÁQUINAS EM COMODATO CONFORME TERMO DE REFERÊNCIA, PARA ATENDER DEMANDA DO LABORATÓRIO MUNICIPAL. SOLICITAÇÃO DA GERÊNCIA DE SAÚDE DO MUNICÍPIO DE NAVIRAÍ-MS. PEDIDO DE COMPRAS Nº 016/2021.</w:t>
      </w:r>
    </w:p>
    <w:p>
      <w:pPr>
        <w:widowControl w:val="0"/>
        <w:ind w:right="-568"/>
        <w:rPr>
          <w:b/>
          <w:iCs/>
          <w:sz w:val="24"/>
          <w:szCs w:val="24"/>
        </w:rPr>
      </w:pPr>
    </w:p>
    <w:p>
      <w:pPr>
        <w:rPr>
          <w:b/>
          <w:sz w:val="24"/>
          <w:szCs w:val="24"/>
          <w:lang w:val="en-US" w:eastAsia="pt-BR"/>
        </w:rPr>
      </w:pPr>
    </w:p>
    <w:p>
      <w:pPr>
        <w:rPr>
          <w:b/>
          <w:sz w:val="24"/>
          <w:szCs w:val="24"/>
          <w:lang w:val="en-US" w:eastAsia="pt-BR"/>
        </w:rPr>
      </w:pPr>
    </w:p>
    <w:p>
      <w:pPr>
        <w:rPr>
          <w:sz w:val="22"/>
          <w:szCs w:val="22"/>
        </w:rPr>
      </w:pPr>
      <w:r>
        <w:rPr>
          <w:b/>
          <w:sz w:val="24"/>
          <w:szCs w:val="24"/>
          <w:lang w:val="en-US" w:eastAsia="pt-BR"/>
        </w:rPr>
        <w:t xml:space="preserve">1.2 </w:t>
      </w:r>
      <w:r>
        <w:rPr>
          <w:bCs/>
          <w:sz w:val="24"/>
          <w:szCs w:val="24"/>
          <w:lang w:eastAsia="pt-BR"/>
        </w:rPr>
        <w:t xml:space="preserve">O Termo de Referencia com informações detalhadas do objeto que compõe esse instrumento, esta disponível para consulta no </w:t>
      </w:r>
      <w:r>
        <w:rPr>
          <w:b/>
          <w:bCs/>
          <w:sz w:val="24"/>
          <w:szCs w:val="24"/>
          <w:u w:val="single"/>
          <w:lang w:eastAsia="pt-BR"/>
        </w:rPr>
        <w:t xml:space="preserve">ANEXO I </w:t>
      </w:r>
      <w:r>
        <w:rPr>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3"/>
          <w:bCs/>
          <w:sz w:val="24"/>
          <w:szCs w:val="24"/>
          <w:lang w:eastAsia="pt-BR"/>
        </w:rPr>
        <w:t>https://transparencia.navirai.ms.gov.br/licitacao/</w:t>
      </w:r>
      <w:r>
        <w:rPr>
          <w:rStyle w:val="13"/>
          <w:bCs/>
          <w:sz w:val="24"/>
          <w:szCs w:val="24"/>
          <w:lang w:eastAsia="pt-BR"/>
        </w:rPr>
        <w:fldChar w:fldCharType="end"/>
      </w:r>
    </w:p>
    <w:p>
      <w:pPr>
        <w:widowControl w:val="0"/>
        <w:ind w:right="-568"/>
        <w:rPr>
          <w:b/>
          <w:iCs/>
          <w:sz w:val="24"/>
          <w:szCs w:val="24"/>
        </w:rPr>
      </w:pPr>
    </w:p>
    <w:p>
      <w:pPr>
        <w:widowControl w:val="0"/>
        <w:ind w:right="-568"/>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jc w:val="both"/>
        <w:rPr>
          <w:iCs/>
          <w:sz w:val="24"/>
          <w:szCs w:val="24"/>
        </w:rPr>
      </w:pPr>
    </w:p>
    <w:p>
      <w:pPr>
        <w:ind w:left="360"/>
        <w:jc w:val="both"/>
      </w:pPr>
      <w:r>
        <w:rPr>
          <w:b/>
          <w:bCs/>
          <w:iCs/>
          <w:sz w:val="24"/>
          <w:szCs w:val="24"/>
        </w:rPr>
        <w:t>I</w:t>
      </w:r>
      <w:r>
        <w:rPr>
          <w:iCs/>
          <w:sz w:val="24"/>
          <w:szCs w:val="24"/>
        </w:rPr>
        <w:t xml:space="preserve"> Entregar com pontualidade o produto ofertado</w:t>
      </w:r>
    </w:p>
    <w:p>
      <w:pPr>
        <w:ind w:left="360"/>
        <w:jc w:val="both"/>
        <w:rPr>
          <w:iCs/>
          <w:sz w:val="24"/>
          <w:szCs w:val="24"/>
        </w:rPr>
      </w:pPr>
    </w:p>
    <w:p>
      <w:pPr>
        <w:ind w:left="36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jc w:val="both"/>
        <w:rPr>
          <w:iCs/>
          <w:color w:val="FF0000"/>
          <w:sz w:val="24"/>
          <w:szCs w:val="24"/>
        </w:rPr>
      </w:pPr>
    </w:p>
    <w:p>
      <w:pPr>
        <w:ind w:left="36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jc w:val="both"/>
        <w:rPr>
          <w:iCs/>
          <w:sz w:val="24"/>
          <w:szCs w:val="24"/>
        </w:rPr>
      </w:pPr>
    </w:p>
    <w:p>
      <w:pPr>
        <w:ind w:left="36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jc w:val="both"/>
      </w:pPr>
      <w:r>
        <w:rPr>
          <w:b/>
          <w:bCs/>
          <w:iCs/>
          <w:sz w:val="24"/>
          <w:szCs w:val="24"/>
        </w:rPr>
        <w:t xml:space="preserve">I </w:t>
      </w:r>
      <w:r>
        <w:rPr>
          <w:iCs/>
          <w:sz w:val="24"/>
          <w:szCs w:val="24"/>
        </w:rPr>
        <w:t>Cumprir todos os compromissos financeiros assumidos com a CONTRATADA;</w:t>
      </w:r>
    </w:p>
    <w:p>
      <w:pPr>
        <w:tabs>
          <w:tab w:val="left" w:pos="360"/>
        </w:tabs>
        <w:ind w:left="360"/>
        <w:jc w:val="both"/>
        <w:rPr>
          <w:iCs/>
          <w:sz w:val="24"/>
          <w:szCs w:val="24"/>
        </w:rPr>
      </w:pPr>
    </w:p>
    <w:p>
      <w:pPr>
        <w:tabs>
          <w:tab w:val="left" w:pos="360"/>
        </w:tabs>
        <w:ind w:left="36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jc w:val="both"/>
        <w:rPr>
          <w:iCs/>
          <w:sz w:val="24"/>
          <w:szCs w:val="24"/>
        </w:rPr>
      </w:pPr>
    </w:p>
    <w:p>
      <w:pPr>
        <w:tabs>
          <w:tab w:val="left" w:pos="360"/>
        </w:tabs>
        <w:ind w:left="36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jc w:val="both"/>
        <w:rPr>
          <w:iCs/>
          <w:sz w:val="24"/>
          <w:szCs w:val="24"/>
        </w:rPr>
      </w:pPr>
    </w:p>
    <w:p>
      <w:pPr>
        <w:ind w:left="36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jc w:val="both"/>
      </w:pPr>
      <w:r>
        <w:rPr>
          <w:b/>
          <w:bCs/>
          <w:sz w:val="24"/>
          <w:szCs w:val="24"/>
        </w:rPr>
        <w:t>3.1</w:t>
      </w:r>
      <w:r>
        <w:rPr>
          <w:sz w:val="24"/>
          <w:szCs w:val="24"/>
        </w:rPr>
        <w:t xml:space="preserve"> – Os itens licitados serão solicitados conforme a necessidade da Gerência, e deverão ser entregues no Almoxarifado Central,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right="-618"/>
        <w:jc w:val="both"/>
        <w:rPr>
          <w:iCs/>
          <w:sz w:val="24"/>
          <w:szCs w:val="24"/>
        </w:rPr>
      </w:pPr>
    </w:p>
    <w:p>
      <w:pPr>
        <w:pStyle w:val="4"/>
        <w:ind w:left="0" w:right="-618"/>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right="-618"/>
        <w:jc w:val="both"/>
        <w:rPr>
          <w:rFonts w:eastAsia="Arial Unicode MS"/>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8"/>
        <w:ind w:right="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4.7.2</w:t>
      </w:r>
      <w:r>
        <w:rPr>
          <w:sz w:val="24"/>
          <w:szCs w:val="24"/>
        </w:rPr>
        <w:t xml:space="preserve"> </w:t>
      </w:r>
      <w:r>
        <w:rPr>
          <w:sz w:val="24"/>
          <w:szCs w:val="24"/>
        </w:rPr>
        <w:tab/>
      </w:r>
      <w:r>
        <w:rPr>
          <w:sz w:val="24"/>
          <w:szCs w:val="24"/>
        </w:rPr>
        <w:t>Prova de regularidade para com a Fazenda Estadual por meio da apresentação de Certidão Negativa ou Positiva com efeito de Negativa;</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4.7.3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4.7.4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4.7.5</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ind w:right="-618"/>
        <w:jc w:val="both"/>
        <w:outlineLvl w:val="7"/>
        <w:rPr>
          <w:b/>
          <w:bCs/>
          <w:iCs/>
          <w:sz w:val="24"/>
          <w:szCs w:val="24"/>
          <w:lang w:eastAsia="pt-BR"/>
        </w:rPr>
      </w:pPr>
      <w:r>
        <w:rPr>
          <w:b/>
          <w:bCs/>
          <w:iCs/>
          <w:sz w:val="24"/>
          <w:szCs w:val="24"/>
          <w:lang w:eastAsia="pt-BR"/>
        </w:rPr>
        <w:t>CLÁUSULA SEXTA - DO PRAZO</w:t>
      </w:r>
    </w:p>
    <w:p>
      <w:pPr>
        <w:widowControl w:val="0"/>
        <w:ind w:right="-618"/>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right="-618"/>
        <w:jc w:val="both"/>
        <w:rPr>
          <w:b/>
          <w:bCs/>
          <w:iCs/>
          <w:sz w:val="24"/>
          <w:szCs w:val="24"/>
        </w:rPr>
      </w:pPr>
    </w:p>
    <w:p>
      <w:pPr>
        <w:pStyle w:val="10"/>
        <w:ind w:right="-618"/>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right="-618"/>
        <w:jc w:val="both"/>
        <w:rPr>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right="-618"/>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5"/>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5"/>
        <w:ind w:left="180"/>
        <w:rPr>
          <w:bCs/>
          <w:iCs/>
        </w:rPr>
      </w:pPr>
    </w:p>
    <w:p>
      <w:pPr>
        <w:pStyle w:val="15"/>
        <w:numPr>
          <w:ilvl w:val="0"/>
          <w:numId w:val="9"/>
        </w:numPr>
        <w:rPr>
          <w:bCs/>
          <w:iCs/>
        </w:rPr>
      </w:pPr>
      <w:r>
        <w:rPr>
          <w:bCs/>
          <w:iCs/>
        </w:rPr>
        <w:t xml:space="preserve">Advertência; </w:t>
      </w:r>
    </w:p>
    <w:p>
      <w:pPr>
        <w:pStyle w:val="15"/>
        <w:ind w:left="900"/>
        <w:rPr>
          <w:bCs/>
          <w:iCs/>
        </w:rPr>
      </w:pPr>
    </w:p>
    <w:p>
      <w:pPr>
        <w:pStyle w:val="15"/>
        <w:numPr>
          <w:ilvl w:val="0"/>
          <w:numId w:val="9"/>
        </w:numPr>
        <w:rPr>
          <w:bCs/>
          <w:iCs/>
        </w:rPr>
      </w:pPr>
      <w:r>
        <w:rPr>
          <w:bCs/>
          <w:iCs/>
        </w:rPr>
        <w:t>Multa de 10% (dez por cento) do valor do contrato,</w:t>
      </w:r>
    </w:p>
    <w:p>
      <w:pPr>
        <w:pStyle w:val="15"/>
        <w:numPr>
          <w:ilvl w:val="0"/>
          <w:numId w:val="9"/>
        </w:numPr>
        <w:rPr>
          <w:bCs/>
          <w:iCs/>
        </w:rPr>
      </w:pPr>
      <w:r>
        <w:rPr>
          <w:bCs/>
          <w:iCs/>
        </w:rPr>
        <w:t>Suspensão temporária de participar de licitação e impedimento de contratar com a Administração por prazo não superior a 2 (dois) anos e,</w:t>
      </w:r>
    </w:p>
    <w:p>
      <w:pPr>
        <w:pStyle w:val="15"/>
        <w:ind w:left="180"/>
        <w:rPr>
          <w:bCs/>
          <w:iCs/>
        </w:rPr>
      </w:pPr>
      <w:r>
        <w:rPr>
          <w:bCs/>
          <w:iCs/>
        </w:rPr>
        <w:t>IV- declaração de inidoneidade para licitar ou contratar com a Administração Pública.</w:t>
      </w:r>
    </w:p>
    <w:p>
      <w:pPr>
        <w:pStyle w:val="15"/>
        <w:rPr>
          <w:bCs/>
          <w:iCs/>
        </w:rPr>
      </w:pPr>
    </w:p>
    <w:p>
      <w:pPr>
        <w:pStyle w:val="15"/>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eastAsia="Arial Unicode MS"/>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rPr>
          <w:rFonts w:ascii="Times New Roman" w:hAnsi="Times New Roman" w:cs="Times New Roman"/>
          <w:iCs/>
          <w:sz w:val="24"/>
          <w:szCs w:val="24"/>
        </w:rPr>
      </w:pPr>
    </w:p>
    <w:p>
      <w:pPr>
        <w:pStyle w:val="6"/>
        <w:ind w:left="0" w:right="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eastAsia="Arial Unicode MS"/>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right="-96"/>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5"/>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5"/>
        <w:rPr>
          <w:iCs/>
        </w:rPr>
      </w:pPr>
    </w:p>
    <w:p>
      <w:pPr>
        <w:pStyle w:val="15"/>
        <w:rPr>
          <w:iCs/>
        </w:rPr>
      </w:pPr>
    </w:p>
    <w:p>
      <w:pPr>
        <w:pStyle w:val="15"/>
        <w:rPr>
          <w:iCs/>
        </w:rPr>
      </w:pPr>
    </w:p>
    <w:p>
      <w:pPr>
        <w:pStyle w:val="15"/>
        <w:rPr>
          <w:iCs/>
        </w:rPr>
      </w:pPr>
    </w:p>
    <w:p>
      <w:pPr>
        <w:pStyle w:val="15"/>
        <w:rPr>
          <w:iCs/>
        </w:rPr>
      </w:pPr>
    </w:p>
    <w:p>
      <w:pPr>
        <w:pStyle w:val="15"/>
        <w:rPr>
          <w:iCs/>
        </w:rPr>
      </w:pPr>
    </w:p>
    <w:p>
      <w:pPr>
        <w:pStyle w:val="15"/>
        <w:rPr>
          <w:iCs/>
        </w:rPr>
      </w:pPr>
    </w:p>
    <w:p>
      <w:pPr>
        <w:pStyle w:val="15"/>
        <w:rPr>
          <w:iCs/>
        </w:rPr>
      </w:pPr>
    </w:p>
    <w:p>
      <w:pPr>
        <w:pStyle w:val="15"/>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tbl>
      <w:tblPr>
        <w:tblStyle w:val="12"/>
        <w:tblW w:w="9474" w:type="dxa"/>
        <w:tblInd w:w="-5" w:type="dxa"/>
        <w:tblLayout w:type="autofit"/>
        <w:tblCellMar>
          <w:top w:w="0" w:type="dxa"/>
          <w:left w:w="108" w:type="dxa"/>
          <w:bottom w:w="0" w:type="dxa"/>
          <w:right w:w="108" w:type="dxa"/>
        </w:tblCellMar>
      </w:tblPr>
      <w:tblGrid>
        <w:gridCol w:w="5778"/>
        <w:gridCol w:w="3696"/>
      </w:tblGrid>
      <w:tr>
        <w:tc>
          <w:tcPr>
            <w:tcW w:w="5778" w:type="dxa"/>
          </w:tcPr>
          <w:p>
            <w:pPr>
              <w:widowControl w:val="0"/>
              <w:tabs>
                <w:tab w:val="left" w:pos="5562"/>
              </w:tabs>
              <w:overflowPunct/>
              <w:autoSpaceDE/>
              <w:spacing w:line="276" w:lineRule="auto"/>
              <w:ind w:right="33"/>
              <w:jc w:val="center"/>
              <w:rPr>
                <w:b/>
                <w:sz w:val="22"/>
                <w:szCs w:val="24"/>
                <w:lang w:eastAsia="pt-BR"/>
              </w:rPr>
            </w:pPr>
            <w:r>
              <w:rPr>
                <w:b/>
                <w:sz w:val="22"/>
                <w:szCs w:val="24"/>
                <w:lang w:eastAsia="pt-BR"/>
              </w:rPr>
              <w:t>MÁRCIO GREI ALVES VIDAL DE FIGUEIREDO</w:t>
            </w:r>
          </w:p>
          <w:p>
            <w:pPr>
              <w:widowControl w:val="0"/>
              <w:tabs>
                <w:tab w:val="left" w:pos="5562"/>
              </w:tabs>
              <w:overflowPunct/>
              <w:autoSpaceDE/>
              <w:spacing w:line="276" w:lineRule="auto"/>
              <w:ind w:right="33"/>
              <w:jc w:val="center"/>
              <w:rPr>
                <w:rFonts w:eastAsia="MS Mincho;ＭＳ 明朝"/>
                <w:b/>
                <w:sz w:val="22"/>
                <w:szCs w:val="22"/>
              </w:rPr>
            </w:pPr>
            <w:r>
              <w:rPr>
                <w:rFonts w:eastAsia="MS Mincho;ＭＳ 明朝"/>
                <w:b/>
                <w:sz w:val="22"/>
                <w:szCs w:val="22"/>
              </w:rPr>
              <w:t>Gerente de Saúde e Ordenador de Despesas</w:t>
            </w:r>
          </w:p>
          <w:p>
            <w:pPr>
              <w:widowControl w:val="0"/>
              <w:tabs>
                <w:tab w:val="left" w:pos="5562"/>
              </w:tabs>
              <w:overflowPunct/>
              <w:autoSpaceDE/>
              <w:spacing w:line="276" w:lineRule="auto"/>
              <w:ind w:right="33"/>
              <w:jc w:val="center"/>
              <w:rPr>
                <w:rFonts w:eastAsia="MS Mincho;ＭＳ 明朝"/>
                <w:b/>
                <w:sz w:val="22"/>
                <w:szCs w:val="22"/>
              </w:rPr>
            </w:pPr>
            <w:r>
              <w:rPr>
                <w:rFonts w:eastAsia="MS Mincho;ＭＳ 明朝"/>
                <w:b/>
                <w:sz w:val="22"/>
                <w:szCs w:val="22"/>
              </w:rPr>
              <w:t>Conforme Decreto nº. 052/2021</w:t>
            </w:r>
          </w:p>
          <w:p>
            <w:pPr>
              <w:widowControl w:val="0"/>
              <w:tabs>
                <w:tab w:val="left" w:pos="5562"/>
              </w:tabs>
              <w:ind w:right="33"/>
              <w:jc w:val="center"/>
              <w:rPr>
                <w:rFonts w:eastAsia="MS Mincho;ＭＳ 明朝"/>
                <w:b/>
                <w:sz w:val="22"/>
                <w:szCs w:val="22"/>
                <w:lang w:eastAsia="pt-BR"/>
              </w:rPr>
            </w:pPr>
            <w:r>
              <w:rPr>
                <w:rFonts w:eastAsia="MS Mincho;ＭＳ 明朝"/>
                <w:b/>
                <w:sz w:val="22"/>
                <w:szCs w:val="22"/>
                <w:lang w:eastAsia="pt-BR"/>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Pr>
                <w:rFonts w:eastAsia="MS Mincho;ＭＳ 明朝"/>
                <w:b/>
                <w:iCs/>
                <w:sz w:val="22"/>
              </w:rPr>
            </w:pPr>
            <w:r>
              <w:rPr>
                <w:rFonts w:eastAsia="MS Mincho;ＭＳ 明朝"/>
                <w:b/>
                <w:iCs/>
                <w:sz w:val="22"/>
              </w:rPr>
              <w:t>Nome:</w:t>
            </w:r>
          </w:p>
          <w:p>
            <w:pPr>
              <w:widowControl w:val="0"/>
              <w:ind w:left="601"/>
              <w:rPr>
                <w:rFonts w:eastAsia="MS Mincho;ＭＳ 明朝"/>
                <w:b/>
                <w:iCs/>
                <w:sz w:val="22"/>
              </w:rPr>
            </w:pPr>
            <w:r>
              <w:rPr>
                <w:rFonts w:eastAsia="MS Mincho;ＭＳ 明朝"/>
                <w:b/>
                <w:iCs/>
                <w:sz w:val="22"/>
              </w:rPr>
              <w:t>CPF:</w:t>
            </w:r>
          </w:p>
        </w:tc>
      </w:tr>
    </w:tbl>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rPr>
          <w:b/>
          <w:bCs/>
          <w:sz w:val="24"/>
          <w:szCs w:val="24"/>
        </w:rPr>
      </w:pPr>
      <w:r>
        <w:rPr>
          <w:b/>
          <w:bCs/>
          <w:sz w:val="24"/>
          <w:szCs w:val="24"/>
        </w:rPr>
        <w:br w:type="page"/>
      </w:r>
    </w:p>
    <w:p>
      <w:pPr>
        <w:jc w:val="center"/>
        <w:rPr>
          <w:b/>
          <w:bCs/>
          <w:sz w:val="24"/>
          <w:szCs w:val="24"/>
        </w:rPr>
      </w:pPr>
    </w:p>
    <w:p>
      <w:pPr>
        <w:jc w:val="center"/>
        <w:rPr>
          <w:b/>
          <w:bCs/>
          <w:sz w:val="24"/>
          <w:szCs w:val="24"/>
        </w:rPr>
      </w:pPr>
      <w:r>
        <w:rPr>
          <w:b/>
          <w:bCs/>
          <w:sz w:val="24"/>
          <w:szCs w:val="24"/>
        </w:rPr>
        <w:t>TERMO DE REFERÊNCIA DO CONTRATO</w:t>
      </w:r>
    </w:p>
    <w:p>
      <w:pPr>
        <w:rPr>
          <w:b/>
          <w:bCs/>
          <w:sz w:val="24"/>
          <w:szCs w:val="24"/>
        </w:rPr>
      </w:pPr>
    </w:p>
    <w:p>
      <w:pPr>
        <w:rPr>
          <w:b/>
          <w:bCs/>
          <w:sz w:val="24"/>
          <w:szCs w:val="24"/>
        </w:rPr>
      </w:pPr>
    </w:p>
    <w:p>
      <w:pPr>
        <w:rPr>
          <w:b/>
          <w:bCs/>
          <w:sz w:val="24"/>
          <w:szCs w:val="24"/>
        </w:rPr>
      </w:pPr>
      <w:r>
        <w:rPr>
          <w:lang w:eastAsia="pt-BR"/>
        </w:rPr>
        <w:drawing>
          <wp:inline distT="0" distB="0" distL="114300" distR="114300">
            <wp:extent cx="6030595" cy="2577465"/>
            <wp:effectExtent l="0" t="0" r="8255" b="13335"/>
            <wp:docPr id="2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3"/>
                    <pic:cNvPicPr>
                      <a:picLocks noChangeAspect="1"/>
                    </pic:cNvPicPr>
                  </pic:nvPicPr>
                  <pic:blipFill>
                    <a:blip r:embed="rId11"/>
                    <a:stretch>
                      <a:fillRect/>
                    </a:stretch>
                  </pic:blipFill>
                  <pic:spPr>
                    <a:xfrm>
                      <a:off x="0" y="0"/>
                      <a:ext cx="6030595" cy="2577465"/>
                    </a:xfrm>
                    <a:prstGeom prst="rect">
                      <a:avLst/>
                    </a:prstGeom>
                    <a:noFill/>
                    <a:ln>
                      <a:noFill/>
                    </a:ln>
                  </pic:spPr>
                </pic:pic>
              </a:graphicData>
            </a:graphic>
          </wp:inline>
        </w:drawing>
      </w:r>
    </w:p>
    <w:p>
      <w:r>
        <w:rPr>
          <w:lang w:eastAsia="pt-BR"/>
        </w:rPr>
        <w:drawing>
          <wp:inline distT="0" distB="0" distL="114300" distR="114300">
            <wp:extent cx="5918835" cy="438150"/>
            <wp:effectExtent l="0" t="0" r="5715" b="0"/>
            <wp:docPr id="2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4"/>
                    <pic:cNvPicPr>
                      <a:picLocks noChangeAspect="1"/>
                    </pic:cNvPicPr>
                  </pic:nvPicPr>
                  <pic:blipFill>
                    <a:blip r:embed="rId12"/>
                    <a:stretch>
                      <a:fillRect/>
                    </a:stretch>
                  </pic:blipFill>
                  <pic:spPr>
                    <a:xfrm>
                      <a:off x="0" y="0"/>
                      <a:ext cx="5918835" cy="438150"/>
                    </a:xfrm>
                    <a:prstGeom prst="rect">
                      <a:avLst/>
                    </a:prstGeom>
                    <a:noFill/>
                    <a:ln>
                      <a:noFill/>
                    </a:ln>
                  </pic:spPr>
                </pic:pic>
              </a:graphicData>
            </a:graphic>
          </wp:inline>
        </w:drawing>
      </w:r>
    </w:p>
    <w:p/>
    <w:p/>
    <w:p/>
    <w:p/>
    <w:p/>
    <w:p/>
    <w:p/>
    <w:p/>
    <w:p/>
    <w:p/>
    <w:p/>
    <w:p/>
    <w:p/>
    <w:p/>
    <w:p/>
    <w:p/>
    <w:p/>
    <w:p>
      <w:r>
        <w:rPr>
          <w:lang w:eastAsia="pt-BR"/>
        </w:rPr>
        <w:drawing>
          <wp:inline distT="0" distB="0" distL="114300" distR="114300">
            <wp:extent cx="5784215" cy="7802880"/>
            <wp:effectExtent l="0" t="0" r="6985" b="7620"/>
            <wp:docPr id="2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5"/>
                    <pic:cNvPicPr>
                      <a:picLocks noChangeAspect="1"/>
                    </pic:cNvPicPr>
                  </pic:nvPicPr>
                  <pic:blipFill>
                    <a:blip r:embed="rId13"/>
                    <a:stretch>
                      <a:fillRect/>
                    </a:stretch>
                  </pic:blipFill>
                  <pic:spPr>
                    <a:xfrm>
                      <a:off x="0" y="0"/>
                      <a:ext cx="5784215" cy="7802880"/>
                    </a:xfrm>
                    <a:prstGeom prst="rect">
                      <a:avLst/>
                    </a:prstGeom>
                    <a:noFill/>
                    <a:ln>
                      <a:noFill/>
                    </a:ln>
                  </pic:spPr>
                </pic:pic>
              </a:graphicData>
            </a:graphic>
          </wp:inline>
        </w:drawing>
      </w:r>
    </w:p>
    <w:p/>
    <w:p/>
    <w:p/>
    <w:p/>
    <w:p/>
    <w:p/>
    <w:p/>
    <w:p>
      <w:r>
        <w:rPr>
          <w:lang w:eastAsia="pt-BR"/>
        </w:rPr>
        <w:drawing>
          <wp:inline distT="0" distB="0" distL="114300" distR="114300">
            <wp:extent cx="5786755" cy="7980045"/>
            <wp:effectExtent l="0" t="0" r="4445" b="1905"/>
            <wp:docPr id="2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6"/>
                    <pic:cNvPicPr>
                      <a:picLocks noChangeAspect="1"/>
                    </pic:cNvPicPr>
                  </pic:nvPicPr>
                  <pic:blipFill>
                    <a:blip r:embed="rId14"/>
                    <a:stretch>
                      <a:fillRect/>
                    </a:stretch>
                  </pic:blipFill>
                  <pic:spPr>
                    <a:xfrm>
                      <a:off x="0" y="0"/>
                      <a:ext cx="5786755" cy="7980045"/>
                    </a:xfrm>
                    <a:prstGeom prst="rect">
                      <a:avLst/>
                    </a:prstGeom>
                    <a:noFill/>
                    <a:ln>
                      <a:noFill/>
                    </a:ln>
                  </pic:spPr>
                </pic:pic>
              </a:graphicData>
            </a:graphic>
          </wp:inline>
        </w:drawing>
      </w:r>
    </w:p>
    <w:p/>
    <w:p/>
    <w:p/>
    <w:p/>
    <w:p/>
    <w:p/>
    <w:p/>
    <w:p/>
    <w:p/>
    <w:p>
      <w:r>
        <w:rPr>
          <w:lang w:eastAsia="pt-BR"/>
        </w:rPr>
        <w:drawing>
          <wp:inline distT="0" distB="0" distL="114300" distR="114300">
            <wp:extent cx="5784215" cy="1774825"/>
            <wp:effectExtent l="0" t="0" r="6985" b="15875"/>
            <wp:docPr id="2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7"/>
                    <pic:cNvPicPr>
                      <a:picLocks noChangeAspect="1"/>
                    </pic:cNvPicPr>
                  </pic:nvPicPr>
                  <pic:blipFill>
                    <a:blip r:embed="rId15"/>
                    <a:stretch>
                      <a:fillRect/>
                    </a:stretch>
                  </pic:blipFill>
                  <pic:spPr>
                    <a:xfrm>
                      <a:off x="0" y="0"/>
                      <a:ext cx="5784215" cy="1774825"/>
                    </a:xfrm>
                    <a:prstGeom prst="rect">
                      <a:avLst/>
                    </a:prstGeom>
                    <a:noFill/>
                    <a:ln>
                      <a:noFill/>
                    </a:ln>
                  </pic:spPr>
                </pic:pic>
              </a:graphicData>
            </a:graphic>
          </wp:inline>
        </w:drawing>
      </w:r>
    </w:p>
    <w:p/>
    <w:p/>
    <w:p>
      <w:r>
        <w:rPr>
          <w:lang w:eastAsia="pt-BR"/>
        </w:rPr>
        <w:drawing>
          <wp:inline distT="0" distB="0" distL="114300" distR="114300">
            <wp:extent cx="5770245" cy="6201410"/>
            <wp:effectExtent l="0" t="0" r="1905" b="8890"/>
            <wp:docPr id="2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8"/>
                    <pic:cNvPicPr>
                      <a:picLocks noChangeAspect="1"/>
                    </pic:cNvPicPr>
                  </pic:nvPicPr>
                  <pic:blipFill>
                    <a:blip r:embed="rId16"/>
                    <a:stretch>
                      <a:fillRect/>
                    </a:stretch>
                  </pic:blipFill>
                  <pic:spPr>
                    <a:xfrm>
                      <a:off x="0" y="0"/>
                      <a:ext cx="5770245" cy="6201410"/>
                    </a:xfrm>
                    <a:prstGeom prst="rect">
                      <a:avLst/>
                    </a:prstGeom>
                    <a:noFill/>
                    <a:ln>
                      <a:noFill/>
                    </a:ln>
                  </pic:spPr>
                </pic:pic>
              </a:graphicData>
            </a:graphic>
          </wp:inline>
        </w:drawing>
      </w:r>
    </w:p>
    <w:p/>
    <w:p/>
    <w:p/>
    <w:p/>
    <w:p>
      <w:r>
        <w:rPr>
          <w:lang w:eastAsia="pt-BR"/>
        </w:rPr>
        <w:drawing>
          <wp:inline distT="0" distB="0" distL="114300" distR="114300">
            <wp:extent cx="5782945" cy="8468360"/>
            <wp:effectExtent l="0" t="0" r="8255" b="8890"/>
            <wp:docPr id="2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9"/>
                    <pic:cNvPicPr>
                      <a:picLocks noChangeAspect="1"/>
                    </pic:cNvPicPr>
                  </pic:nvPicPr>
                  <pic:blipFill>
                    <a:blip r:embed="rId17"/>
                    <a:stretch>
                      <a:fillRect/>
                    </a:stretch>
                  </pic:blipFill>
                  <pic:spPr>
                    <a:xfrm>
                      <a:off x="0" y="0"/>
                      <a:ext cx="5782945" cy="8468360"/>
                    </a:xfrm>
                    <a:prstGeom prst="rect">
                      <a:avLst/>
                    </a:prstGeom>
                    <a:noFill/>
                    <a:ln>
                      <a:noFill/>
                    </a:ln>
                  </pic:spPr>
                </pic:pic>
              </a:graphicData>
            </a:graphic>
          </wp:inline>
        </w:drawing>
      </w:r>
    </w:p>
    <w:p/>
    <w:p/>
    <w:p/>
    <w:p/>
    <w:p/>
    <w:p/>
    <w:p/>
    <w:p>
      <w:r>
        <w:rPr>
          <w:lang w:eastAsia="pt-BR"/>
        </w:rPr>
        <w:drawing>
          <wp:inline distT="0" distB="0" distL="114300" distR="114300">
            <wp:extent cx="5772150" cy="8437245"/>
            <wp:effectExtent l="0" t="0" r="0" b="1905"/>
            <wp:docPr id="2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10"/>
                    <pic:cNvPicPr>
                      <a:picLocks noChangeAspect="1"/>
                    </pic:cNvPicPr>
                  </pic:nvPicPr>
                  <pic:blipFill>
                    <a:blip r:embed="rId18"/>
                    <a:stretch>
                      <a:fillRect/>
                    </a:stretch>
                  </pic:blipFill>
                  <pic:spPr>
                    <a:xfrm>
                      <a:off x="0" y="0"/>
                      <a:ext cx="5772150" cy="8437245"/>
                    </a:xfrm>
                    <a:prstGeom prst="rect">
                      <a:avLst/>
                    </a:prstGeom>
                    <a:noFill/>
                    <a:ln>
                      <a:noFill/>
                    </a:ln>
                  </pic:spPr>
                </pic:pic>
              </a:graphicData>
            </a:graphic>
          </wp:inline>
        </w:drawing>
      </w:r>
    </w:p>
    <w:p/>
    <w:p/>
    <w:p/>
    <w:p>
      <w:r>
        <w:rPr>
          <w:lang w:eastAsia="pt-BR"/>
        </w:rPr>
        <w:drawing>
          <wp:inline distT="0" distB="0" distL="114300" distR="114300">
            <wp:extent cx="5782310" cy="8418195"/>
            <wp:effectExtent l="0" t="0" r="8890" b="1905"/>
            <wp:docPr id="2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11"/>
                    <pic:cNvPicPr>
                      <a:picLocks noChangeAspect="1"/>
                    </pic:cNvPicPr>
                  </pic:nvPicPr>
                  <pic:blipFill>
                    <a:blip r:embed="rId19"/>
                    <a:stretch>
                      <a:fillRect/>
                    </a:stretch>
                  </pic:blipFill>
                  <pic:spPr>
                    <a:xfrm>
                      <a:off x="0" y="0"/>
                      <a:ext cx="5782310" cy="8418195"/>
                    </a:xfrm>
                    <a:prstGeom prst="rect">
                      <a:avLst/>
                    </a:prstGeom>
                    <a:noFill/>
                    <a:ln>
                      <a:noFill/>
                    </a:ln>
                  </pic:spPr>
                </pic:pic>
              </a:graphicData>
            </a:graphic>
          </wp:inline>
        </w:drawing>
      </w:r>
    </w:p>
    <w:p/>
    <w:p/>
    <w:p>
      <w:r>
        <w:rPr>
          <w:lang w:eastAsia="pt-BR"/>
        </w:rPr>
        <w:drawing>
          <wp:inline distT="0" distB="0" distL="114300" distR="114300">
            <wp:extent cx="5782310" cy="8374380"/>
            <wp:effectExtent l="0" t="0" r="8890" b="7620"/>
            <wp:docPr id="2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12"/>
                    <pic:cNvPicPr>
                      <a:picLocks noChangeAspect="1"/>
                    </pic:cNvPicPr>
                  </pic:nvPicPr>
                  <pic:blipFill>
                    <a:blip r:embed="rId20"/>
                    <a:stretch>
                      <a:fillRect/>
                    </a:stretch>
                  </pic:blipFill>
                  <pic:spPr>
                    <a:xfrm>
                      <a:off x="0" y="0"/>
                      <a:ext cx="5782310" cy="8374380"/>
                    </a:xfrm>
                    <a:prstGeom prst="rect">
                      <a:avLst/>
                    </a:prstGeom>
                    <a:noFill/>
                    <a:ln>
                      <a:noFill/>
                    </a:ln>
                  </pic:spPr>
                </pic:pic>
              </a:graphicData>
            </a:graphic>
          </wp:inline>
        </w:drawing>
      </w:r>
    </w:p>
    <w:p/>
    <w:p/>
    <w:p/>
    <w:p>
      <w:r>
        <w:rPr>
          <w:lang w:eastAsia="pt-BR"/>
        </w:rPr>
        <w:drawing>
          <wp:inline distT="0" distB="0" distL="114300" distR="114300">
            <wp:extent cx="5774055" cy="8401685"/>
            <wp:effectExtent l="0" t="0" r="17145" b="18415"/>
            <wp:docPr id="3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13"/>
                    <pic:cNvPicPr>
                      <a:picLocks noChangeAspect="1"/>
                    </pic:cNvPicPr>
                  </pic:nvPicPr>
                  <pic:blipFill>
                    <a:blip r:embed="rId21"/>
                    <a:stretch>
                      <a:fillRect/>
                    </a:stretch>
                  </pic:blipFill>
                  <pic:spPr>
                    <a:xfrm>
                      <a:off x="0" y="0"/>
                      <a:ext cx="5774055" cy="8401685"/>
                    </a:xfrm>
                    <a:prstGeom prst="rect">
                      <a:avLst/>
                    </a:prstGeom>
                    <a:noFill/>
                    <a:ln>
                      <a:noFill/>
                    </a:ln>
                  </pic:spPr>
                </pic:pic>
              </a:graphicData>
            </a:graphic>
          </wp:inline>
        </w:drawing>
      </w:r>
    </w:p>
    <w:p/>
    <w:p>
      <w:pPr>
        <w:rPr>
          <w:b/>
          <w:bCs/>
          <w:sz w:val="24"/>
          <w:szCs w:val="24"/>
        </w:rPr>
      </w:pPr>
      <w:r>
        <w:rPr>
          <w:lang w:eastAsia="pt-BR"/>
        </w:rPr>
        <w:drawing>
          <wp:inline distT="0" distB="0" distL="114300" distR="114300">
            <wp:extent cx="5770880" cy="8433435"/>
            <wp:effectExtent l="0" t="0" r="1270" b="5715"/>
            <wp:docPr id="3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14"/>
                    <pic:cNvPicPr>
                      <a:picLocks noChangeAspect="1"/>
                    </pic:cNvPicPr>
                  </pic:nvPicPr>
                  <pic:blipFill>
                    <a:blip r:embed="rId22"/>
                    <a:stretch>
                      <a:fillRect/>
                    </a:stretch>
                  </pic:blipFill>
                  <pic:spPr>
                    <a:xfrm>
                      <a:off x="0" y="0"/>
                      <a:ext cx="5770880" cy="8433435"/>
                    </a:xfrm>
                    <a:prstGeom prst="rect">
                      <a:avLst/>
                    </a:prstGeom>
                    <a:noFill/>
                    <a:ln>
                      <a:noFill/>
                    </a:ln>
                  </pic:spPr>
                </pic:pic>
              </a:graphicData>
            </a:graphic>
          </wp:inline>
        </w:drawing>
      </w:r>
    </w:p>
    <w:p>
      <w:pPr>
        <w:rPr>
          <w:b/>
          <w:bCs/>
          <w:sz w:val="24"/>
          <w:szCs w:val="24"/>
        </w:rPr>
      </w:pPr>
      <w:r>
        <w:rPr>
          <w:lang w:eastAsia="pt-BR"/>
        </w:rPr>
        <w:drawing>
          <wp:inline distT="0" distB="0" distL="114300" distR="114300">
            <wp:extent cx="5250815" cy="7404735"/>
            <wp:effectExtent l="0" t="0" r="6985" b="5715"/>
            <wp:docPr id="3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5"/>
                    <pic:cNvPicPr>
                      <a:picLocks noChangeAspect="1"/>
                    </pic:cNvPicPr>
                  </pic:nvPicPr>
                  <pic:blipFill>
                    <a:blip r:embed="rId23"/>
                    <a:stretch>
                      <a:fillRect/>
                    </a:stretch>
                  </pic:blipFill>
                  <pic:spPr>
                    <a:xfrm>
                      <a:off x="0" y="0"/>
                      <a:ext cx="5250815" cy="7404735"/>
                    </a:xfrm>
                    <a:prstGeom prst="rect">
                      <a:avLst/>
                    </a:prstGeom>
                    <a:noFill/>
                    <a:ln>
                      <a:noFill/>
                    </a:ln>
                  </pic:spPr>
                </pic:pic>
              </a:graphicData>
            </a:graphic>
          </wp:inline>
        </w:drawing>
      </w: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139/2021</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8"/>
        <w:ind w:right="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8"/>
        <w:ind w:right="0"/>
        <w:rPr>
          <w:rFonts w:ascii="Times New Roman" w:hAnsi="Times New Roman" w:cs="Times New Roman"/>
        </w:rPr>
      </w:pPr>
      <w:r>
        <w:rPr>
          <w:rFonts w:ascii="Times New Roman" w:hAnsi="Times New Roman" w:cs="Times New Roman"/>
        </w:rPr>
        <w:t xml:space="preserve">                                                      Nome da Empresa</w:t>
      </w:r>
    </w:p>
    <w:p>
      <w:pPr>
        <w:pStyle w:val="18"/>
        <w:ind w:right="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right="0"/>
        <w:rPr>
          <w:rFonts w:ascii="Times New Roman" w:hAnsi="Times New Roman" w:cs="Times New Roman"/>
        </w:rPr>
      </w:pPr>
    </w:p>
    <w:p>
      <w:pPr>
        <w:pStyle w:val="18"/>
        <w:ind w:right="0"/>
        <w:rPr>
          <w:rFonts w:ascii="Times New Roman" w:hAnsi="Times New Roman" w:cs="Times New Roman"/>
        </w:rPr>
      </w:pPr>
    </w:p>
    <w:p>
      <w:pPr>
        <w:pStyle w:val="18"/>
        <w:ind w:right="0"/>
        <w:rPr>
          <w:rFonts w:ascii="Times New Roman" w:hAnsi="Times New Roman" w:cs="Times New Roman"/>
        </w:rPr>
      </w:pPr>
    </w:p>
    <w:p>
      <w:pPr>
        <w:pStyle w:val="18"/>
        <w:ind w:right="0"/>
        <w:rPr>
          <w:rFonts w:ascii="Times New Roman" w:hAnsi="Times New Roman" w:cs="Times New Roman"/>
        </w:rPr>
      </w:pPr>
    </w:p>
    <w:p>
      <w:pPr>
        <w:pStyle w:val="18"/>
        <w:ind w:right="0"/>
        <w:rPr>
          <w:rFonts w:ascii="Times New Roman" w:hAnsi="Times New Roman" w:cs="Times New Roman"/>
        </w:rPr>
      </w:pPr>
    </w:p>
    <w:p>
      <w:pPr>
        <w:pStyle w:val="18"/>
        <w:ind w:right="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8"/>
        <w:ind w:right="0"/>
        <w:rPr>
          <w:rFonts w:ascii="Times New Roman" w:hAnsi="Times New Roman" w:cs="Times New Roman"/>
        </w:rPr>
      </w:pPr>
    </w:p>
    <w:p>
      <w:pPr>
        <w:pStyle w:val="18"/>
        <w:ind w:right="0"/>
        <w:rPr>
          <w:rFonts w:ascii="Times New Roman" w:hAnsi="Times New Roman" w:cs="Times New Roman"/>
        </w:rPr>
      </w:pPr>
    </w:p>
    <w:p>
      <w:pPr>
        <w:pStyle w:val="18"/>
        <w:ind w:right="0"/>
        <w:rPr>
          <w:rFonts w:ascii="Times New Roman" w:hAnsi="Times New Roman" w:cs="Times New Roman"/>
        </w:rPr>
      </w:pPr>
    </w:p>
    <w:p>
      <w:pPr>
        <w:pStyle w:val="18"/>
        <w:ind w:right="0"/>
        <w:rPr>
          <w:rFonts w:ascii="Times New Roman" w:hAnsi="Times New Roman" w:cs="Times New Roman"/>
        </w:rPr>
      </w:pPr>
    </w:p>
    <w:p>
      <w:pPr>
        <w:pStyle w:val="18"/>
        <w:ind w:right="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8"/>
        <w:ind w:right="0"/>
        <w:jc w:val="center"/>
        <w:rPr>
          <w:rFonts w:ascii="Times New Roman" w:hAnsi="Times New Roman" w:cs="Times New Roman"/>
        </w:rPr>
      </w:pPr>
      <w:r>
        <w:rPr>
          <w:rFonts w:ascii="Times New Roman" w:hAnsi="Times New Roman" w:cs="Times New Roman"/>
        </w:rPr>
        <w:t xml:space="preserve">Assinatura do responsável legal </w:t>
      </w:r>
    </w:p>
    <w:p>
      <w:pPr>
        <w:rPr>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139/2021</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139/2021</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139</w:t>
      </w:r>
      <w:r>
        <w:rPr>
          <w:b/>
          <w:bCs/>
          <w:sz w:val="24"/>
          <w:szCs w:val="24"/>
        </w:rPr>
        <w:t>/2021</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139/2021</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139/2021</w:t>
      </w:r>
    </w:p>
    <w:p>
      <w:pPr>
        <w:jc w:val="center"/>
        <w:rPr>
          <w:b/>
          <w:bCs/>
          <w:sz w:val="24"/>
          <w:szCs w:val="24"/>
        </w:rPr>
      </w:pPr>
    </w:p>
    <w:p>
      <w:pPr>
        <w:jc w:val="center"/>
        <w:rPr>
          <w:sz w:val="24"/>
          <w:szCs w:val="24"/>
        </w:rPr>
      </w:pPr>
    </w:p>
    <w:p>
      <w:pPr>
        <w:rPr>
          <w:sz w:val="24"/>
          <w:szCs w:val="24"/>
        </w:rPr>
      </w:pPr>
    </w:p>
    <w:p>
      <w:pPr>
        <w:jc w:val="right"/>
        <w:rPr>
          <w:sz w:val="24"/>
          <w:szCs w:val="24"/>
        </w:rPr>
      </w:pPr>
    </w:p>
    <w:p>
      <w:pPr>
        <w:keepNext/>
        <w:keepLines/>
        <w:widowControl w:val="0"/>
        <w:spacing w:before="2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º ______________________________________ DECLARA, por seu representante legal infra-assinado que conhece e aceita o inteiro teor completo do edital deste Pregão Presencial</w:t>
      </w:r>
      <w:r>
        <w:rPr>
          <w:b/>
          <w:bCs/>
          <w:iCs/>
          <w:sz w:val="26"/>
          <w:szCs w:val="24"/>
        </w:rPr>
        <w:t xml:space="preserve"> 139/2</w:t>
      </w:r>
      <w:r>
        <w:rPr>
          <w:b/>
          <w:iCs/>
          <w:sz w:val="26"/>
          <w:szCs w:val="24"/>
        </w:rPr>
        <w:t>021.</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rPr>
          <w:b/>
          <w:bCs/>
          <w:sz w:val="22"/>
          <w:szCs w:val="22"/>
        </w:rPr>
      </w:pPr>
      <w:r>
        <w:rPr>
          <w:b/>
          <w:bCs/>
          <w:sz w:val="22"/>
          <w:szCs w:val="22"/>
        </w:rPr>
        <w:br w:type="page"/>
      </w:r>
    </w:p>
    <w:p>
      <w:pPr>
        <w:jc w:val="center"/>
        <w:rPr>
          <w:b/>
          <w:bCs/>
          <w:sz w:val="22"/>
          <w:szCs w:val="22"/>
        </w:rPr>
      </w:pPr>
    </w:p>
    <w:p>
      <w:pPr>
        <w:jc w:val="center"/>
      </w:pPr>
      <w:r>
        <w:rPr>
          <w:b/>
          <w:bCs/>
          <w:sz w:val="22"/>
          <w:szCs w:val="22"/>
        </w:rPr>
        <w:t>PREGÃO PRESENCIAL N° 139/2021</w:t>
      </w:r>
    </w:p>
    <w:p>
      <w:pPr>
        <w:keepNext/>
        <w:keepLines/>
        <w:widowControl w:val="0"/>
        <w:spacing w:before="20"/>
        <w:jc w:val="center"/>
        <w:rPr>
          <w:sz w:val="24"/>
          <w:szCs w:val="24"/>
        </w:rPr>
      </w:pPr>
    </w:p>
    <w:p>
      <w:pPr>
        <w:keepNext/>
        <w:keepLines/>
        <w:widowControl w:val="0"/>
        <w:spacing w:before="20"/>
        <w:jc w:val="center"/>
        <w:rPr>
          <w:sz w:val="24"/>
          <w:szCs w:val="24"/>
        </w:rPr>
      </w:pPr>
    </w:p>
    <w:p>
      <w:pPr>
        <w:keepNext/>
        <w:keepLines/>
        <w:widowControl w:val="0"/>
        <w:spacing w:before="20"/>
        <w:jc w:val="center"/>
        <w:rPr>
          <w:sz w:val="24"/>
          <w:szCs w:val="24"/>
        </w:rPr>
      </w:pPr>
    </w:p>
    <w:p>
      <w:pPr>
        <w:keepNext/>
        <w:keepLines/>
        <w:widowControl w:val="0"/>
        <w:spacing w:before="20"/>
        <w:jc w:val="center"/>
        <w:rPr>
          <w:sz w:val="24"/>
          <w:szCs w:val="24"/>
        </w:rPr>
      </w:pPr>
    </w:p>
    <w:p>
      <w:pPr>
        <w:keepNext/>
        <w:keepLines/>
        <w:widowControl w:val="0"/>
        <w:spacing w:before="20"/>
        <w:jc w:val="center"/>
        <w:rPr>
          <w:sz w:val="24"/>
          <w:szCs w:val="24"/>
        </w:rPr>
      </w:pPr>
      <w:r>
        <w:rPr>
          <w:sz w:val="24"/>
          <w:szCs w:val="24"/>
        </w:rPr>
        <w:t>ANEXO X</w:t>
      </w:r>
    </w:p>
    <w:p>
      <w:pPr>
        <w:keepNext/>
        <w:keepLines/>
        <w:widowControl w:val="0"/>
        <w:spacing w:before="20"/>
        <w:jc w:val="center"/>
        <w:rPr>
          <w:sz w:val="24"/>
          <w:szCs w:val="24"/>
        </w:rPr>
      </w:pPr>
    </w:p>
    <w:p>
      <w:pPr>
        <w:keepNext/>
        <w:keepLines/>
        <w:widowControl w:val="0"/>
        <w:spacing w:before="20"/>
        <w:jc w:val="both"/>
        <w:rPr>
          <w:sz w:val="24"/>
          <w:szCs w:val="24"/>
        </w:rPr>
      </w:pPr>
    </w:p>
    <w:p>
      <w:pPr>
        <w:keepNext/>
        <w:keepLines/>
        <w:widowControl w:val="0"/>
        <w:spacing w:before="20"/>
        <w:jc w:val="both"/>
        <w:rPr>
          <w:sz w:val="24"/>
          <w:szCs w:val="24"/>
        </w:rPr>
      </w:pPr>
      <w:r>
        <w:rPr>
          <w:sz w:val="24"/>
          <w:szCs w:val="24"/>
        </w:rPr>
        <w:t xml:space="preserve">FICHA DE CADASTRO DE REPRESENTANTE PARA PREENCHIMENTO DE ATA DE REGISTRO DE PREÇO OU CONTRATO. </w:t>
      </w:r>
    </w:p>
    <w:p>
      <w:pPr>
        <w:keepNext/>
        <w:keepLines/>
        <w:widowControl w:val="0"/>
        <w:spacing w:before="20"/>
        <w:jc w:val="both"/>
        <w:rPr>
          <w:sz w:val="24"/>
          <w:szCs w:val="24"/>
        </w:rPr>
      </w:pPr>
    </w:p>
    <w:p>
      <w:pPr>
        <w:keepNext/>
        <w:keepLines/>
        <w:widowControl w:val="0"/>
        <w:spacing w:before="20"/>
        <w:jc w:val="both"/>
        <w:rPr>
          <w:sz w:val="24"/>
          <w:szCs w:val="24"/>
        </w:rPr>
      </w:pPr>
    </w:p>
    <w:p>
      <w:pPr>
        <w:keepNext/>
        <w:keepLines/>
        <w:widowControl w:val="0"/>
        <w:spacing w:before="20" w:line="276" w:lineRule="auto"/>
        <w:jc w:val="both"/>
        <w:rPr>
          <w:sz w:val="24"/>
          <w:szCs w:val="24"/>
        </w:rPr>
      </w:pPr>
      <w:r>
        <w:rPr>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line="276" w:lineRule="auto"/>
        <w:jc w:val="both"/>
        <w:rPr>
          <w:sz w:val="24"/>
          <w:szCs w:val="24"/>
        </w:rPr>
      </w:pPr>
      <w:r>
        <w:rPr>
          <w:sz w:val="24"/>
          <w:szCs w:val="24"/>
        </w:rPr>
        <w:t>DADOS DO REPRESENTANTE QUE IRÁ ASSINAR OS INSTRUMENTOS: ATA DE REGISTRO DE PREÇO E/OU CONTRATO.</w:t>
      </w:r>
    </w:p>
    <w:p>
      <w:pPr>
        <w:spacing w:line="276" w:lineRule="auto"/>
        <w:jc w:val="both"/>
        <w:rPr>
          <w:sz w:val="24"/>
          <w:szCs w:val="24"/>
        </w:rPr>
      </w:pPr>
    </w:p>
    <w:p>
      <w:pPr>
        <w:overflowPunct/>
        <w:autoSpaceDE/>
        <w:spacing w:after="200" w:line="276" w:lineRule="auto"/>
        <w:jc w:val="both"/>
        <w:textAlignment w:val="auto"/>
        <w:rPr>
          <w:sz w:val="24"/>
          <w:szCs w:val="24"/>
        </w:rPr>
      </w:pPr>
      <w:r>
        <w:rPr>
          <w:sz w:val="24"/>
          <w:szCs w:val="24"/>
        </w:rPr>
        <w:t>NOME:</w:t>
      </w:r>
    </w:p>
    <w:p>
      <w:pPr>
        <w:overflowPunct/>
        <w:autoSpaceDE/>
        <w:spacing w:after="200" w:line="276" w:lineRule="auto"/>
        <w:jc w:val="both"/>
        <w:textAlignment w:val="auto"/>
        <w:rPr>
          <w:sz w:val="24"/>
          <w:szCs w:val="24"/>
        </w:rPr>
      </w:pPr>
      <w:r>
        <w:rPr>
          <w:sz w:val="24"/>
          <w:szCs w:val="24"/>
        </w:rPr>
        <w:t>CPF Nº:</w:t>
      </w:r>
    </w:p>
    <w:p>
      <w:pPr>
        <w:overflowPunct/>
        <w:autoSpaceDE/>
        <w:spacing w:after="200" w:line="276" w:lineRule="auto"/>
        <w:jc w:val="both"/>
        <w:textAlignment w:val="auto"/>
        <w:rPr>
          <w:sz w:val="24"/>
          <w:szCs w:val="24"/>
        </w:rPr>
      </w:pPr>
      <w:r>
        <w:rPr>
          <w:sz w:val="24"/>
          <w:szCs w:val="24"/>
        </w:rPr>
        <w:t>RG Nº:</w:t>
      </w:r>
    </w:p>
    <w:p>
      <w:pPr>
        <w:rPr>
          <w:rFonts w:ascii="Verdana" w:hAnsi="Verdana" w:cs="Verdana"/>
          <w:sz w:val="24"/>
          <w:szCs w:val="24"/>
        </w:rPr>
      </w:pPr>
      <w:r>
        <w:rPr>
          <w:sz w:val="24"/>
          <w:szCs w:val="24"/>
        </w:rPr>
        <w:t>ENDEREÇO COMPLETO.</w:t>
      </w:r>
    </w:p>
    <w:sectPr>
      <w:pgSz w:w="11906" w:h="16838"/>
      <w:pgMar w:top="1537" w:right="992" w:bottom="709" w:left="1797" w:header="284" w:footer="459" w:gutter="0"/>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400000000000000"/>
    <w:charset w:val="01"/>
    <w:family w:val="roman"/>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modern"/>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Wingdings">
    <w:panose1 w:val="05000000000000000000"/>
    <w:charset w:val="02"/>
    <w:family w:val="auto"/>
    <w:pitch w:val="default"/>
    <w:sig w:usb0="00000000" w:usb1="00000000" w:usb2="00000000" w:usb3="00000000" w:csb0="80000000" w:csb1="00000000"/>
  </w:font>
  <w:font w:name="Arial Unicode MS">
    <w:altName w:val="Arial"/>
    <w:panose1 w:val="020B0604020202020204"/>
    <w:charset w:val="80"/>
    <w:family w:val="swiss"/>
    <w:pitch w:val="default"/>
    <w:sig w:usb0="00000000" w:usb1="00000000" w:usb2="0000003F" w:usb3="00000000" w:csb0="003F01FF"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2020404030301010803"/>
    <w:charset w:val="00"/>
    <w:family w:val="roman"/>
    <w:pitch w:val="default"/>
    <w:sig w:usb0="00000000" w:usb1="00000000" w:usb2="00000000" w:usb3="00000000" w:csb0="0000009F"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spacing w:before="60"/>
      <w:ind w:right="-805" w:hanging="1418"/>
      <w:jc w:val="center"/>
      <w:rPr>
        <w:rFonts w:ascii="Garamond" w:hAnsi="Garamond" w:cs="Garamond"/>
        <w:b/>
        <w:iCs/>
        <w:color w:val="0000FF"/>
        <w:sz w:val="20"/>
      </w:rPr>
    </w:pPr>
    <w:r>
      <w:rPr>
        <w:rFonts w:ascii="Times New Roman" w:hAnsi="Times New Roman" w:cs="Times New Roman"/>
        <w:lang w:eastAsia="pt-BR"/>
      </w:rPr>
      <mc:AlternateContent>
        <mc:Choice Requires="wps">
          <w:drawing>
            <wp:anchor distT="0" distB="0" distL="114935" distR="114935" simplePos="0" relativeHeight="251661312"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5168;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ascii="Times New Roman" w:hAnsi="Times New Roman" w:cs="Times New Roman"/>
        <w:b/>
        <w:iCs/>
        <w:color w:val="0000FF"/>
        <w:sz w:val="20"/>
      </w:rPr>
      <w:t>Praça Prefeito Euclides Antônio Fabris, 343 – Telefax (0**67) 3409-1500 – Cep 79950-000 – e-mail: pregaonavirai@gmail.com</w:t>
    </w:r>
    <w:r>
      <w:rPr>
        <w:lang w:eastAsia="pt-BR"/>
      </w:rPr>
      <mc:AlternateContent>
        <mc:Choice Requires="wps">
          <w:drawing>
            <wp:anchor distT="0" distB="0" distL="0" distR="0" simplePos="0" relativeHeight="251662336"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1"/>
                          </w:pPr>
                          <w:r>
                            <w:rPr>
                              <w:rStyle w:val="209"/>
                              <w:sz w:val="16"/>
                            </w:rPr>
                            <w:fldChar w:fldCharType="begin"/>
                          </w:r>
                          <w:r>
                            <w:rPr>
                              <w:rStyle w:val="209"/>
                              <w:sz w:val="16"/>
                            </w:rPr>
                            <w:instrText xml:space="preserve">PAGE</w:instrText>
                          </w:r>
                          <w:r>
                            <w:rPr>
                              <w:rStyle w:val="209"/>
                              <w:sz w:val="16"/>
                            </w:rPr>
                            <w:fldChar w:fldCharType="separate"/>
                          </w:r>
                          <w:r>
                            <w:rPr>
                              <w:rStyle w:val="209"/>
                              <w:sz w:val="16"/>
                            </w:rPr>
                            <w:t>6</w:t>
                          </w:r>
                          <w:r>
                            <w:rPr>
                              <w:rStyle w:val="209"/>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62336;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1"/>
                    </w:pPr>
                    <w:r>
                      <w:rPr>
                        <w:rStyle w:val="209"/>
                        <w:sz w:val="16"/>
                      </w:rPr>
                      <w:fldChar w:fldCharType="begin"/>
                    </w:r>
                    <w:r>
                      <w:rPr>
                        <w:rStyle w:val="209"/>
                        <w:sz w:val="16"/>
                      </w:rPr>
                      <w:instrText xml:space="preserve">PAGE</w:instrText>
                    </w:r>
                    <w:r>
                      <w:rPr>
                        <w:rStyle w:val="209"/>
                        <w:sz w:val="16"/>
                      </w:rPr>
                      <w:fldChar w:fldCharType="separate"/>
                    </w:r>
                    <w:r>
                      <w:rPr>
                        <w:rStyle w:val="209"/>
                        <w:sz w:val="16"/>
                      </w:rPr>
                      <w:t>6</w:t>
                    </w:r>
                    <w:r>
                      <w:rPr>
                        <w:rStyle w:val="209"/>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241"/>
      <w:jc w:val="center"/>
      <w:rPr>
        <w:b/>
        <w:bCs/>
        <w:sz w:val="26"/>
        <w:szCs w:val="26"/>
      </w:rPr>
    </w:pPr>
    <w:r>
      <w:rPr>
        <w:lang w:eastAsia="pt-BR"/>
      </w:rPr>
      <w:drawing>
        <wp:anchor distT="0" distB="0" distL="114935" distR="114935" simplePos="0" relativeHeight="251659264"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b/>
        <w:bCs/>
        <w:sz w:val="26"/>
        <w:szCs w:val="26"/>
      </w:rPr>
      <w:t>PREFEITURA MUNICIPAL DE NAVIRAÍ</w:t>
    </w:r>
  </w:p>
  <w:p>
    <w:pPr>
      <w:pStyle w:val="20"/>
      <w:ind w:right="-241"/>
      <w:jc w:val="center"/>
      <w:rPr>
        <w:b/>
        <w:bCs/>
        <w:sz w:val="26"/>
        <w:szCs w:val="26"/>
      </w:rPr>
    </w:pPr>
    <w:r>
      <w:rPr>
        <w:b/>
        <w:bCs/>
        <w:sz w:val="26"/>
        <w:szCs w:val="26"/>
      </w:rPr>
      <w:t>ESTADO DE MATO GROSSO DO SUL</w:t>
    </w:r>
  </w:p>
  <w:p>
    <w:pPr>
      <w:pStyle w:val="20"/>
      <w:ind w:right="-241"/>
      <w:jc w:val="center"/>
      <w:rPr>
        <w:b/>
        <w:bCs/>
        <w:sz w:val="26"/>
        <w:szCs w:val="26"/>
      </w:rPr>
    </w:pPr>
    <w:r>
      <w:rPr>
        <w:b/>
        <w:bCs/>
        <w:sz w:val="26"/>
        <w:szCs w:val="26"/>
      </w:rPr>
      <w:t>GERÊNCIA DE FINANÇAS</w:t>
    </w:r>
  </w:p>
  <w:p>
    <w:pPr>
      <w:pStyle w:val="20"/>
      <w:ind w:right="-241"/>
      <w:jc w:val="center"/>
      <w:rPr>
        <w:rFonts w:cs="David"/>
      </w:rPr>
    </w:pPr>
    <w:r>
      <w:rPr>
        <w:lang w:eastAsia="pt-BR"/>
      </w:rPr>
      <mc:AlternateContent>
        <mc:Choice Requires="wps">
          <w:drawing>
            <wp:anchor distT="0" distB="0" distL="114935" distR="114935" simplePos="0" relativeHeight="251660288"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6192;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b/>
        <w:iCs/>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singleLevel"/>
    <w:tmpl w:val="BF205925"/>
    <w:lvl w:ilvl="0" w:tentative="0">
      <w:start w:val="1"/>
      <w:numFmt w:val="lowerLetter"/>
      <w:lvlText w:val="%1)"/>
      <w:lvlJc w:val="left"/>
      <w:pPr>
        <w:tabs>
          <w:tab w:val="left" w:pos="1257"/>
        </w:tabs>
        <w:ind w:left="1257" w:hanging="690"/>
      </w:p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singleLevel"/>
    <w:tmpl w:val="03D62ECE"/>
    <w:lvl w:ilvl="0" w:tentative="0">
      <w:start w:val="1"/>
      <w:numFmt w:val="upperRoman"/>
      <w:lvlText w:val="%1-"/>
      <w:lvlJc w:val="left"/>
      <w:pPr>
        <w:ind w:left="900" w:hanging="720"/>
      </w:pPr>
      <w:rPr>
        <w:bCs/>
        <w:iCs/>
      </w:rPr>
    </w:lvl>
  </w:abstractNum>
  <w:abstractNum w:abstractNumId="5">
    <w:nsid w:val="157D0AC0"/>
    <w:multiLevelType w:val="multilevel"/>
    <w:tmpl w:val="157D0AC0"/>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1DF11C05"/>
    <w:multiLevelType w:val="multilevel"/>
    <w:tmpl w:val="1DF11C05"/>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7">
    <w:nsid w:val="27A47467"/>
    <w:multiLevelType w:val="multilevel"/>
    <w:tmpl w:val="27A47467"/>
    <w:lvl w:ilvl="0" w:tentative="0">
      <w:start w:val="4"/>
      <w:numFmt w:val="decimal"/>
      <w:lvlText w:val="%1"/>
      <w:lvlJc w:val="left"/>
      <w:pPr>
        <w:ind w:left="360" w:hanging="360"/>
      </w:pPr>
      <w:rPr>
        <w:rFonts w:hint="default"/>
      </w:rPr>
    </w:lvl>
    <w:lvl w:ilvl="1" w:tentative="0">
      <w:start w:val="3"/>
      <w:numFmt w:val="decimal"/>
      <w:lvlText w:val="%1.%2"/>
      <w:lvlJc w:val="left"/>
      <w:pPr>
        <w:ind w:left="360" w:hanging="360"/>
      </w:pPr>
      <w:rPr>
        <w:rFonts w:hint="default"/>
        <w:b/>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720" w:hanging="72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080" w:hanging="108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8">
    <w:nsid w:val="59ADCABA"/>
    <w:multiLevelType w:val="singleLevel"/>
    <w:tmpl w:val="59ADCABA"/>
    <w:lvl w:ilvl="0" w:tentative="0">
      <w:start w:val="1"/>
      <w:numFmt w:val="lowerLetter"/>
      <w:lvlText w:val="%1)"/>
      <w:lvlJc w:val="left"/>
      <w:pPr>
        <w:tabs>
          <w:tab w:val="left" w:pos="720"/>
        </w:tabs>
        <w:ind w:left="720" w:hanging="360"/>
      </w:pPr>
      <w:rPr>
        <w:b/>
        <w:bCs/>
        <w:sz w:val="24"/>
        <w:szCs w:val="24"/>
      </w:rPr>
    </w:lvl>
  </w:abstractNum>
  <w:num w:numId="1">
    <w:abstractNumId w:val="3"/>
  </w:num>
  <w:num w:numId="2">
    <w:abstractNumId w:val="2"/>
  </w:num>
  <w:num w:numId="3">
    <w:abstractNumId w:val="7"/>
  </w:num>
  <w:num w:numId="4">
    <w:abstractNumId w:val="8"/>
  </w:num>
  <w:num w:numId="5">
    <w:abstractNumId w:val="1"/>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0"/>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hyphenationZone w:val="425"/>
  <w:characterSpacingControl w:val="doNotCompress"/>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712C"/>
    <w:rsid w:val="001515F3"/>
    <w:rsid w:val="00252173"/>
    <w:rsid w:val="003B0A51"/>
    <w:rsid w:val="006C63CA"/>
    <w:rsid w:val="008D7AF8"/>
    <w:rsid w:val="009C712C"/>
    <w:rsid w:val="00BF4450"/>
    <w:rsid w:val="00E013B0"/>
    <w:rsid w:val="00E53786"/>
    <w:rsid w:val="036D5899"/>
    <w:rsid w:val="23597640"/>
    <w:rsid w:val="404A4985"/>
    <w:rsid w:val="5AAF54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suppressAutoHyphens/>
      <w:overflowPunct w:val="0"/>
      <w:autoSpaceDE w:val="0"/>
      <w:textAlignment w:val="baseline"/>
    </w:pPr>
    <w:rPr>
      <w:rFonts w:ascii="Times New Roman" w:hAnsi="Times New Roman" w:eastAsia="Times New Roman" w:cs="Times New Roman"/>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Hyperlink"/>
    <w:qFormat/>
    <w:uiPriority w:val="99"/>
    <w:rPr>
      <w:color w:val="0000FF"/>
      <w:u w:val="single"/>
    </w:rPr>
  </w:style>
  <w:style w:type="paragraph" w:styleId="14">
    <w:name w:val="List"/>
    <w:basedOn w:val="15"/>
    <w:qFormat/>
    <w:uiPriority w:val="0"/>
    <w:rPr>
      <w:rFonts w:cs="Mangal"/>
    </w:rPr>
  </w:style>
  <w:style w:type="paragraph" w:styleId="15">
    <w:name w:val="Body Text"/>
    <w:basedOn w:val="1"/>
    <w:qFormat/>
    <w:uiPriority w:val="0"/>
    <w:pPr>
      <w:overflowPunct/>
      <w:autoSpaceDE/>
      <w:jc w:val="both"/>
      <w:textAlignment w:val="auto"/>
    </w:pPr>
    <w:rPr>
      <w:sz w:val="24"/>
      <w:szCs w:val="24"/>
    </w:rPr>
  </w:style>
  <w:style w:type="paragraph" w:styleId="16">
    <w:name w:val="Block Text"/>
    <w:basedOn w:val="1"/>
    <w:qFormat/>
    <w:uiPriority w:val="0"/>
    <w:pPr>
      <w:overflowPunct/>
      <w:autoSpaceDE/>
      <w:ind w:left="-567" w:right="-765"/>
      <w:jc w:val="both"/>
      <w:textAlignment w:val="auto"/>
    </w:pPr>
    <w:rPr>
      <w:rFonts w:ascii="Arial" w:hAnsi="Arial" w:cs="Arial"/>
      <w:sz w:val="22"/>
    </w:rPr>
  </w:style>
  <w:style w:type="paragraph" w:styleId="17">
    <w:name w:val="Body Text Indent 2"/>
    <w:basedOn w:val="1"/>
    <w:qFormat/>
    <w:uiPriority w:val="0"/>
    <w:pPr>
      <w:ind w:left="705" w:hanging="705"/>
      <w:jc w:val="both"/>
    </w:pPr>
    <w:rPr>
      <w:rFonts w:ascii="Arial" w:hAnsi="Arial" w:cs="Arial"/>
      <w:sz w:val="23"/>
    </w:rPr>
  </w:style>
  <w:style w:type="paragraph" w:styleId="18">
    <w:name w:val="Body Text 3"/>
    <w:basedOn w:val="1"/>
    <w:qFormat/>
    <w:uiPriority w:val="0"/>
    <w:pPr>
      <w:overflowPunct/>
      <w:autoSpaceDE/>
      <w:ind w:right="-142"/>
      <w:jc w:val="both"/>
      <w:textAlignment w:val="auto"/>
    </w:pPr>
    <w:rPr>
      <w:rFonts w:ascii="Arial" w:hAnsi="Arial" w:cs="Arial"/>
      <w:sz w:val="24"/>
      <w:szCs w:val="24"/>
    </w:rPr>
  </w:style>
  <w:style w:type="paragraph" w:styleId="19">
    <w:name w:val="Body Text 2"/>
    <w:basedOn w:val="1"/>
    <w:qFormat/>
    <w:uiPriority w:val="0"/>
    <w:pPr>
      <w:overflowPunct/>
      <w:autoSpaceDE/>
      <w:jc w:val="both"/>
      <w:textAlignment w:val="auto"/>
    </w:pPr>
    <w:rPr>
      <w:rFonts w:ascii="Arial" w:hAnsi="Arial" w:cs="Arial"/>
      <w:i/>
    </w:rPr>
  </w:style>
  <w:style w:type="paragraph" w:styleId="20">
    <w:name w:val="header"/>
    <w:basedOn w:val="1"/>
    <w:qFormat/>
    <w:uiPriority w:val="0"/>
    <w:pPr>
      <w:tabs>
        <w:tab w:val="center" w:pos="4419"/>
        <w:tab w:val="right" w:pos="8838"/>
      </w:tabs>
      <w:overflowPunct/>
      <w:autoSpaceDE/>
      <w:textAlignment w:val="auto"/>
    </w:pPr>
    <w:rPr>
      <w:sz w:val="24"/>
      <w:szCs w:val="24"/>
    </w:rPr>
  </w:style>
  <w:style w:type="paragraph" w:styleId="21">
    <w:name w:val="footer"/>
    <w:basedOn w:val="1"/>
    <w:qFormat/>
    <w:uiPriority w:val="0"/>
    <w:pPr>
      <w:tabs>
        <w:tab w:val="center" w:pos="4419"/>
        <w:tab w:val="right" w:pos="8838"/>
      </w:tabs>
    </w:pPr>
    <w:rPr>
      <w:rFonts w:ascii="Courier (W1);Segoe Print" w:hAnsi="Courier (W1);Segoe Print" w:cs="Courier (W1);Segoe Print"/>
      <w:color w:val="000000"/>
      <w:sz w:val="24"/>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jc w:val="both"/>
      <w:textAlignment w:val="auto"/>
    </w:pPr>
    <w:rPr>
      <w:rFonts w:ascii="Arial" w:hAnsi="Arial" w:cs="Arial"/>
      <w:bCs/>
      <w:sz w:val="21"/>
    </w:rPr>
  </w:style>
  <w:style w:type="paragraph" w:styleId="24">
    <w:name w:val="Balloon Text"/>
    <w:basedOn w:val="1"/>
    <w:link w:val="248"/>
    <w:qFormat/>
    <w:uiPriority w:val="0"/>
    <w:rPr>
      <w:rFonts w:ascii="Tahoma" w:hAnsi="Tahoma" w:cs="Tahoma"/>
      <w:sz w:val="16"/>
      <w:szCs w:val="16"/>
    </w:rPr>
  </w:style>
  <w:style w:type="paragraph" w:styleId="25">
    <w:name w:val="Subtitle"/>
    <w:basedOn w:val="1"/>
    <w:next w:val="15"/>
    <w:qFormat/>
    <w:uiPriority w:val="0"/>
    <w:pPr>
      <w:overflowPunct/>
      <w:autoSpaceDE/>
      <w:ind w:left="-142" w:right="-1"/>
      <w:textAlignment w:val="auto"/>
    </w:pPr>
    <w:rPr>
      <w:b/>
      <w:sz w:val="23"/>
    </w:rPr>
  </w:style>
  <w:style w:type="paragraph" w:styleId="26">
    <w:name w:val="Body Text Indent"/>
    <w:basedOn w:val="1"/>
    <w:qFormat/>
    <w:uiPriority w:val="0"/>
    <w:pPr>
      <w:overflowPunct/>
      <w:autoSpaceDE/>
      <w:jc w:val="both"/>
      <w:textAlignment w:val="auto"/>
    </w:pPr>
    <w:rPr>
      <w:sz w:val="22"/>
    </w:rPr>
  </w:style>
  <w:style w:type="table" w:styleId="27">
    <w:name w:val="Table Grid"/>
    <w:basedOn w:val="12"/>
    <w:qFormat/>
    <w:uiPriority w:val="59"/>
    <w:rPr>
      <w:rFonts w:asciiTheme="minorHAnsi" w:hAnsiTheme="minorHAnsi" w:eastAsia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8">
    <w:name w:val="WW8Num1z0"/>
    <w:qFormat/>
    <w:uiPriority w:val="0"/>
  </w:style>
  <w:style w:type="character" w:customStyle="1" w:styleId="29">
    <w:name w:val="WW8Num1z1"/>
    <w:qFormat/>
    <w:uiPriority w:val="0"/>
  </w:style>
  <w:style w:type="character" w:customStyle="1" w:styleId="30">
    <w:name w:val="WW8Num1z2"/>
    <w:qFormat/>
    <w:uiPriority w:val="0"/>
  </w:style>
  <w:style w:type="character" w:customStyle="1" w:styleId="31">
    <w:name w:val="WW8Num1z3"/>
    <w:qFormat/>
    <w:uiPriority w:val="0"/>
  </w:style>
  <w:style w:type="character" w:customStyle="1" w:styleId="32">
    <w:name w:val="WW8Num1z4"/>
    <w:qFormat/>
    <w:uiPriority w:val="0"/>
  </w:style>
  <w:style w:type="character" w:customStyle="1" w:styleId="33">
    <w:name w:val="WW8Num1z5"/>
    <w:qFormat/>
    <w:uiPriority w:val="0"/>
  </w:style>
  <w:style w:type="character" w:customStyle="1" w:styleId="34">
    <w:name w:val="WW8Num1z6"/>
    <w:qFormat/>
    <w:uiPriority w:val="0"/>
  </w:style>
  <w:style w:type="character" w:customStyle="1" w:styleId="35">
    <w:name w:val="WW8Num1z7"/>
    <w:qFormat/>
    <w:uiPriority w:val="0"/>
  </w:style>
  <w:style w:type="character" w:customStyle="1" w:styleId="36">
    <w:name w:val="WW8Num1z8"/>
    <w:qFormat/>
    <w:uiPriority w:val="0"/>
  </w:style>
  <w:style w:type="character" w:customStyle="1" w:styleId="37">
    <w:name w:val="WW8Num2z0"/>
    <w:qFormat/>
    <w:uiPriority w:val="0"/>
  </w:style>
  <w:style w:type="character" w:customStyle="1" w:styleId="38">
    <w:name w:val="WW8Num2z1"/>
    <w:qFormat/>
    <w:uiPriority w:val="0"/>
  </w:style>
  <w:style w:type="character" w:customStyle="1" w:styleId="39">
    <w:name w:val="WW8Num2z2"/>
    <w:qFormat/>
    <w:uiPriority w:val="0"/>
  </w:style>
  <w:style w:type="character" w:customStyle="1" w:styleId="40">
    <w:name w:val="WW8Num2z3"/>
    <w:qFormat/>
    <w:uiPriority w:val="0"/>
  </w:style>
  <w:style w:type="character" w:customStyle="1" w:styleId="41">
    <w:name w:val="WW8Num2z4"/>
    <w:qFormat/>
    <w:uiPriority w:val="0"/>
  </w:style>
  <w:style w:type="character" w:customStyle="1" w:styleId="42">
    <w:name w:val="WW8Num2z5"/>
    <w:qFormat/>
    <w:uiPriority w:val="0"/>
  </w:style>
  <w:style w:type="character" w:customStyle="1" w:styleId="43">
    <w:name w:val="WW8Num2z6"/>
    <w:qFormat/>
    <w:uiPriority w:val="0"/>
  </w:style>
  <w:style w:type="character" w:customStyle="1" w:styleId="44">
    <w:name w:val="WW8Num2z7"/>
    <w:qFormat/>
    <w:uiPriority w:val="0"/>
  </w:style>
  <w:style w:type="character" w:customStyle="1" w:styleId="45">
    <w:name w:val="WW8Num2z8"/>
    <w:qFormat/>
    <w:uiPriority w:val="0"/>
  </w:style>
  <w:style w:type="character" w:customStyle="1" w:styleId="46">
    <w:name w:val="WW8Num3z0"/>
    <w:qFormat/>
    <w:uiPriority w:val="0"/>
  </w:style>
  <w:style w:type="character" w:customStyle="1" w:styleId="47">
    <w:name w:val="WW8Num4z0"/>
    <w:qFormat/>
    <w:uiPriority w:val="0"/>
  </w:style>
  <w:style w:type="character" w:customStyle="1" w:styleId="48">
    <w:name w:val="WW8Num5z0"/>
    <w:qFormat/>
    <w:uiPriority w:val="0"/>
    <w:rPr>
      <w:b/>
      <w:iCs/>
      <w:sz w:val="24"/>
      <w:szCs w:val="24"/>
    </w:rPr>
  </w:style>
  <w:style w:type="character" w:customStyle="1" w:styleId="49">
    <w:name w:val="WW8Num6z0"/>
    <w:qFormat/>
    <w:uiPriority w:val="0"/>
  </w:style>
  <w:style w:type="character" w:customStyle="1" w:styleId="50">
    <w:name w:val="WW8Num6z1"/>
    <w:qFormat/>
    <w:uiPriority w:val="0"/>
  </w:style>
  <w:style w:type="character" w:customStyle="1" w:styleId="51">
    <w:name w:val="WW8Num6z2"/>
    <w:qFormat/>
    <w:uiPriority w:val="0"/>
  </w:style>
  <w:style w:type="character" w:customStyle="1" w:styleId="52">
    <w:name w:val="WW8Num6z3"/>
    <w:qFormat/>
    <w:uiPriority w:val="0"/>
  </w:style>
  <w:style w:type="character" w:customStyle="1" w:styleId="53">
    <w:name w:val="WW8Num6z4"/>
    <w:qFormat/>
    <w:uiPriority w:val="0"/>
  </w:style>
  <w:style w:type="character" w:customStyle="1" w:styleId="54">
    <w:name w:val="WW8Num6z5"/>
    <w:qFormat/>
    <w:uiPriority w:val="0"/>
  </w:style>
  <w:style w:type="character" w:customStyle="1" w:styleId="55">
    <w:name w:val="WW8Num6z6"/>
    <w:qFormat/>
    <w:uiPriority w:val="0"/>
  </w:style>
  <w:style w:type="character" w:customStyle="1" w:styleId="56">
    <w:name w:val="WW8Num6z7"/>
    <w:qFormat/>
    <w:uiPriority w:val="0"/>
  </w:style>
  <w:style w:type="character" w:customStyle="1" w:styleId="57">
    <w:name w:val="WW8Num6z8"/>
    <w:qFormat/>
    <w:uiPriority w:val="0"/>
  </w:style>
  <w:style w:type="character" w:customStyle="1" w:styleId="58">
    <w:name w:val="WW8Num7z0"/>
    <w:qFormat/>
    <w:uiPriority w:val="0"/>
    <w:rPr>
      <w:spacing w:val="0"/>
      <w:w w:val="100"/>
      <w:sz w:val="22"/>
      <w:szCs w:val="22"/>
    </w:rPr>
  </w:style>
  <w:style w:type="character" w:customStyle="1" w:styleId="59">
    <w:name w:val="WW8Num7z1"/>
    <w:qFormat/>
    <w:uiPriority w:val="0"/>
  </w:style>
  <w:style w:type="character" w:customStyle="1" w:styleId="60">
    <w:name w:val="WW8Num7z2"/>
    <w:qFormat/>
    <w:uiPriority w:val="0"/>
  </w:style>
  <w:style w:type="character" w:customStyle="1" w:styleId="61">
    <w:name w:val="WW8Num7z3"/>
    <w:qFormat/>
    <w:uiPriority w:val="0"/>
  </w:style>
  <w:style w:type="character" w:customStyle="1" w:styleId="62">
    <w:name w:val="WW8Num7z4"/>
    <w:qFormat/>
    <w:uiPriority w:val="0"/>
  </w:style>
  <w:style w:type="character" w:customStyle="1" w:styleId="63">
    <w:name w:val="WW8Num7z5"/>
    <w:qFormat/>
    <w:uiPriority w:val="0"/>
  </w:style>
  <w:style w:type="character" w:customStyle="1" w:styleId="64">
    <w:name w:val="WW8Num7z6"/>
    <w:qFormat/>
    <w:uiPriority w:val="0"/>
  </w:style>
  <w:style w:type="character" w:customStyle="1" w:styleId="65">
    <w:name w:val="WW8Num7z7"/>
    <w:qFormat/>
    <w:uiPriority w:val="0"/>
  </w:style>
  <w:style w:type="character" w:customStyle="1" w:styleId="66">
    <w:name w:val="WW8Num7z8"/>
    <w:qFormat/>
    <w:uiPriority w:val="0"/>
  </w:style>
  <w:style w:type="character" w:customStyle="1" w:styleId="67">
    <w:name w:val="WW8Num8z0"/>
    <w:qFormat/>
    <w:uiPriority w:val="0"/>
    <w:rPr>
      <w:b/>
      <w:i/>
    </w:rPr>
  </w:style>
  <w:style w:type="character" w:customStyle="1" w:styleId="68">
    <w:name w:val="WW8Num9z0"/>
    <w:qFormat/>
    <w:uiPriority w:val="0"/>
    <w:rPr>
      <w:bCs/>
      <w:iCs/>
    </w:rPr>
  </w:style>
  <w:style w:type="character" w:customStyle="1" w:styleId="69">
    <w:name w:val="WW8Num9z1"/>
    <w:qFormat/>
    <w:uiPriority w:val="0"/>
  </w:style>
  <w:style w:type="character" w:customStyle="1" w:styleId="70">
    <w:name w:val="WW8Num9z2"/>
    <w:qFormat/>
    <w:uiPriority w:val="0"/>
  </w:style>
  <w:style w:type="character" w:customStyle="1" w:styleId="71">
    <w:name w:val="WW8Num9z3"/>
    <w:qFormat/>
    <w:uiPriority w:val="0"/>
  </w:style>
  <w:style w:type="character" w:customStyle="1" w:styleId="72">
    <w:name w:val="WW8Num9z4"/>
    <w:qFormat/>
    <w:uiPriority w:val="0"/>
  </w:style>
  <w:style w:type="character" w:customStyle="1" w:styleId="73">
    <w:name w:val="WW8Num9z5"/>
    <w:qFormat/>
    <w:uiPriority w:val="0"/>
  </w:style>
  <w:style w:type="character" w:customStyle="1" w:styleId="74">
    <w:name w:val="WW8Num9z6"/>
    <w:qFormat/>
    <w:uiPriority w:val="0"/>
  </w:style>
  <w:style w:type="character" w:customStyle="1" w:styleId="75">
    <w:name w:val="WW8Num9z7"/>
    <w:qFormat/>
    <w:uiPriority w:val="0"/>
  </w:style>
  <w:style w:type="character" w:customStyle="1" w:styleId="76">
    <w:name w:val="WW8Num9z8"/>
    <w:qFormat/>
    <w:uiPriority w:val="0"/>
  </w:style>
  <w:style w:type="character" w:customStyle="1" w:styleId="77">
    <w:name w:val="WW8Num10z0"/>
    <w:qFormat/>
    <w:uiPriority w:val="0"/>
  </w:style>
  <w:style w:type="character" w:customStyle="1" w:styleId="78">
    <w:name w:val="WW8Num10z1"/>
    <w:qFormat/>
    <w:uiPriority w:val="0"/>
  </w:style>
  <w:style w:type="character" w:customStyle="1" w:styleId="79">
    <w:name w:val="WW8Num10z2"/>
    <w:qFormat/>
    <w:uiPriority w:val="0"/>
  </w:style>
  <w:style w:type="character" w:customStyle="1" w:styleId="80">
    <w:name w:val="WW8Num10z3"/>
    <w:qFormat/>
    <w:uiPriority w:val="0"/>
  </w:style>
  <w:style w:type="character" w:customStyle="1" w:styleId="81">
    <w:name w:val="WW8Num10z4"/>
    <w:qFormat/>
    <w:uiPriority w:val="0"/>
  </w:style>
  <w:style w:type="character" w:customStyle="1" w:styleId="82">
    <w:name w:val="WW8Num10z5"/>
    <w:qFormat/>
    <w:uiPriority w:val="0"/>
  </w:style>
  <w:style w:type="character" w:customStyle="1" w:styleId="83">
    <w:name w:val="WW8Num10z6"/>
    <w:qFormat/>
    <w:uiPriority w:val="0"/>
  </w:style>
  <w:style w:type="character" w:customStyle="1" w:styleId="84">
    <w:name w:val="WW8Num10z7"/>
    <w:qFormat/>
    <w:uiPriority w:val="0"/>
  </w:style>
  <w:style w:type="character" w:customStyle="1" w:styleId="85">
    <w:name w:val="WW8Num10z8"/>
    <w:qFormat/>
    <w:uiPriority w:val="0"/>
  </w:style>
  <w:style w:type="character" w:customStyle="1" w:styleId="86">
    <w:name w:val="WW8Num11z0"/>
    <w:qFormat/>
    <w:uiPriority w:val="0"/>
  </w:style>
  <w:style w:type="character" w:customStyle="1" w:styleId="87">
    <w:name w:val="WW8Num11z1"/>
    <w:qFormat/>
    <w:uiPriority w:val="0"/>
  </w:style>
  <w:style w:type="character" w:customStyle="1" w:styleId="88">
    <w:name w:val="WW8Num11z2"/>
    <w:qFormat/>
    <w:uiPriority w:val="0"/>
  </w:style>
  <w:style w:type="character" w:customStyle="1" w:styleId="89">
    <w:name w:val="WW8Num11z3"/>
    <w:qFormat/>
    <w:uiPriority w:val="0"/>
  </w:style>
  <w:style w:type="character" w:customStyle="1" w:styleId="90">
    <w:name w:val="WW8Num11z4"/>
    <w:qFormat/>
    <w:uiPriority w:val="0"/>
  </w:style>
  <w:style w:type="character" w:customStyle="1" w:styleId="91">
    <w:name w:val="WW8Num11z5"/>
    <w:qFormat/>
    <w:uiPriority w:val="0"/>
  </w:style>
  <w:style w:type="character" w:customStyle="1" w:styleId="92">
    <w:name w:val="WW8Num11z6"/>
    <w:qFormat/>
    <w:uiPriority w:val="0"/>
  </w:style>
  <w:style w:type="character" w:customStyle="1" w:styleId="93">
    <w:name w:val="WW8Num11z7"/>
    <w:qFormat/>
    <w:uiPriority w:val="0"/>
  </w:style>
  <w:style w:type="character" w:customStyle="1" w:styleId="94">
    <w:name w:val="WW8Num11z8"/>
    <w:qFormat/>
    <w:uiPriority w:val="0"/>
  </w:style>
  <w:style w:type="character" w:customStyle="1" w:styleId="95">
    <w:name w:val="WW8Num12z0"/>
    <w:qFormat/>
    <w:uiPriority w:val="0"/>
    <w:rPr>
      <w:rFonts w:ascii="Symbol" w:hAnsi="Symbol" w:eastAsia="Times New Roman" w:cs="Times New Roman"/>
    </w:rPr>
  </w:style>
  <w:style w:type="character" w:customStyle="1" w:styleId="96">
    <w:name w:val="WW8Num12z1"/>
    <w:qFormat/>
    <w:uiPriority w:val="0"/>
    <w:rPr>
      <w:rFonts w:ascii="Courier New" w:hAnsi="Courier New" w:cs="Courier New"/>
    </w:rPr>
  </w:style>
  <w:style w:type="character" w:customStyle="1" w:styleId="97">
    <w:name w:val="WW8Num12z2"/>
    <w:qFormat/>
    <w:uiPriority w:val="0"/>
    <w:rPr>
      <w:rFonts w:ascii="Wingdings" w:hAnsi="Wingdings" w:cs="Wingdings"/>
    </w:rPr>
  </w:style>
  <w:style w:type="character" w:customStyle="1" w:styleId="98">
    <w:name w:val="WW8Num12z3"/>
    <w:qFormat/>
    <w:uiPriority w:val="0"/>
    <w:rPr>
      <w:rFonts w:ascii="Symbol" w:hAnsi="Symbol" w:cs="Symbol"/>
    </w:rPr>
  </w:style>
  <w:style w:type="character" w:customStyle="1" w:styleId="99">
    <w:name w:val="WW8Num13z0"/>
    <w:qFormat/>
    <w:uiPriority w:val="0"/>
  </w:style>
  <w:style w:type="character" w:customStyle="1" w:styleId="100">
    <w:name w:val="WW8Num13z1"/>
    <w:qFormat/>
    <w:uiPriority w:val="0"/>
  </w:style>
  <w:style w:type="character" w:customStyle="1" w:styleId="101">
    <w:name w:val="WW8Num13z2"/>
    <w:qFormat/>
    <w:uiPriority w:val="0"/>
  </w:style>
  <w:style w:type="character" w:customStyle="1" w:styleId="102">
    <w:name w:val="WW8Num13z3"/>
    <w:qFormat/>
    <w:uiPriority w:val="0"/>
  </w:style>
  <w:style w:type="character" w:customStyle="1" w:styleId="103">
    <w:name w:val="WW8Num13z4"/>
    <w:qFormat/>
    <w:uiPriority w:val="0"/>
  </w:style>
  <w:style w:type="character" w:customStyle="1" w:styleId="104">
    <w:name w:val="WW8Num13z5"/>
    <w:qFormat/>
    <w:uiPriority w:val="0"/>
  </w:style>
  <w:style w:type="character" w:customStyle="1" w:styleId="105">
    <w:name w:val="WW8Num13z6"/>
    <w:qFormat/>
    <w:uiPriority w:val="0"/>
  </w:style>
  <w:style w:type="character" w:customStyle="1" w:styleId="106">
    <w:name w:val="WW8Num13z7"/>
    <w:qFormat/>
    <w:uiPriority w:val="0"/>
  </w:style>
  <w:style w:type="character" w:customStyle="1" w:styleId="107">
    <w:name w:val="WW8Num13z8"/>
    <w:qFormat/>
    <w:uiPriority w:val="0"/>
  </w:style>
  <w:style w:type="character" w:customStyle="1" w:styleId="108">
    <w:name w:val="WW8Num14z0"/>
    <w:qFormat/>
    <w:uiPriority w:val="0"/>
    <w:rPr>
      <w:b/>
      <w:bCs/>
      <w:sz w:val="24"/>
      <w:szCs w:val="24"/>
    </w:rPr>
  </w:style>
  <w:style w:type="character" w:customStyle="1" w:styleId="109">
    <w:name w:val="WW8Num14z1"/>
    <w:qFormat/>
    <w:uiPriority w:val="0"/>
  </w:style>
  <w:style w:type="character" w:customStyle="1" w:styleId="110">
    <w:name w:val="WW8Num14z2"/>
    <w:qFormat/>
    <w:uiPriority w:val="0"/>
  </w:style>
  <w:style w:type="character" w:customStyle="1" w:styleId="111">
    <w:name w:val="WW8Num14z3"/>
    <w:qFormat/>
    <w:uiPriority w:val="0"/>
  </w:style>
  <w:style w:type="character" w:customStyle="1" w:styleId="112">
    <w:name w:val="WW8Num14z4"/>
    <w:qFormat/>
    <w:uiPriority w:val="0"/>
  </w:style>
  <w:style w:type="character" w:customStyle="1" w:styleId="113">
    <w:name w:val="WW8Num14z5"/>
    <w:qFormat/>
    <w:uiPriority w:val="0"/>
  </w:style>
  <w:style w:type="character" w:customStyle="1" w:styleId="114">
    <w:name w:val="WW8Num14z6"/>
    <w:qFormat/>
    <w:uiPriority w:val="0"/>
  </w:style>
  <w:style w:type="character" w:customStyle="1" w:styleId="115">
    <w:name w:val="WW8Num14z7"/>
    <w:qFormat/>
    <w:uiPriority w:val="0"/>
  </w:style>
  <w:style w:type="character" w:customStyle="1" w:styleId="116">
    <w:name w:val="WW8Num14z8"/>
    <w:qFormat/>
    <w:uiPriority w:val="0"/>
  </w:style>
  <w:style w:type="character" w:customStyle="1" w:styleId="117">
    <w:name w:val="WW8Num15z0"/>
    <w:qFormat/>
    <w:uiPriority w:val="0"/>
  </w:style>
  <w:style w:type="character" w:customStyle="1" w:styleId="118">
    <w:name w:val="WW8Num15z1"/>
    <w:qFormat/>
    <w:uiPriority w:val="0"/>
  </w:style>
  <w:style w:type="character" w:customStyle="1" w:styleId="119">
    <w:name w:val="WW8Num15z2"/>
    <w:qFormat/>
    <w:uiPriority w:val="0"/>
  </w:style>
  <w:style w:type="character" w:customStyle="1" w:styleId="120">
    <w:name w:val="WW8Num15z3"/>
    <w:qFormat/>
    <w:uiPriority w:val="0"/>
  </w:style>
  <w:style w:type="character" w:customStyle="1" w:styleId="121">
    <w:name w:val="WW8Num15z4"/>
    <w:qFormat/>
    <w:uiPriority w:val="0"/>
  </w:style>
  <w:style w:type="character" w:customStyle="1" w:styleId="122">
    <w:name w:val="WW8Num15z5"/>
    <w:qFormat/>
    <w:uiPriority w:val="0"/>
  </w:style>
  <w:style w:type="character" w:customStyle="1" w:styleId="123">
    <w:name w:val="WW8Num15z6"/>
    <w:qFormat/>
    <w:uiPriority w:val="0"/>
  </w:style>
  <w:style w:type="character" w:customStyle="1" w:styleId="124">
    <w:name w:val="WW8Num15z7"/>
    <w:qFormat/>
    <w:uiPriority w:val="0"/>
  </w:style>
  <w:style w:type="character" w:customStyle="1" w:styleId="125">
    <w:name w:val="WW8Num15z8"/>
    <w:qFormat/>
    <w:uiPriority w:val="0"/>
  </w:style>
  <w:style w:type="character" w:customStyle="1" w:styleId="126">
    <w:name w:val="WW8Num16z0"/>
    <w:qFormat/>
    <w:uiPriority w:val="0"/>
  </w:style>
  <w:style w:type="character" w:customStyle="1" w:styleId="127">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8">
    <w:name w:val="WW8Num17z1"/>
    <w:qFormat/>
    <w:uiPriority w:val="0"/>
    <w:rPr>
      <w:lang w:val="pt-BR" w:bidi="pt-BR"/>
    </w:rPr>
  </w:style>
  <w:style w:type="character" w:customStyle="1" w:styleId="129">
    <w:name w:val="WW8Num18z0"/>
    <w:qFormat/>
    <w:uiPriority w:val="0"/>
    <w:rPr>
      <w:b/>
    </w:rPr>
  </w:style>
  <w:style w:type="character" w:customStyle="1" w:styleId="130">
    <w:name w:val="WW8Num19z0"/>
    <w:qFormat/>
    <w:uiPriority w:val="0"/>
  </w:style>
  <w:style w:type="character" w:customStyle="1" w:styleId="131">
    <w:name w:val="WW8Num19z1"/>
    <w:qFormat/>
    <w:uiPriority w:val="0"/>
  </w:style>
  <w:style w:type="character" w:customStyle="1" w:styleId="132">
    <w:name w:val="WW8Num19z2"/>
    <w:qFormat/>
    <w:uiPriority w:val="0"/>
  </w:style>
  <w:style w:type="character" w:customStyle="1" w:styleId="133">
    <w:name w:val="WW8Num19z3"/>
    <w:qFormat/>
    <w:uiPriority w:val="0"/>
  </w:style>
  <w:style w:type="character" w:customStyle="1" w:styleId="134">
    <w:name w:val="WW8Num19z4"/>
    <w:qFormat/>
    <w:uiPriority w:val="0"/>
  </w:style>
  <w:style w:type="character" w:customStyle="1" w:styleId="135">
    <w:name w:val="WW8Num19z5"/>
    <w:qFormat/>
    <w:uiPriority w:val="0"/>
  </w:style>
  <w:style w:type="character" w:customStyle="1" w:styleId="136">
    <w:name w:val="WW8Num19z6"/>
    <w:qFormat/>
    <w:uiPriority w:val="0"/>
  </w:style>
  <w:style w:type="character" w:customStyle="1" w:styleId="137">
    <w:name w:val="WW8Num19z7"/>
    <w:qFormat/>
    <w:uiPriority w:val="0"/>
  </w:style>
  <w:style w:type="character" w:customStyle="1" w:styleId="138">
    <w:name w:val="WW8Num19z8"/>
    <w:qFormat/>
    <w:uiPriority w:val="0"/>
  </w:style>
  <w:style w:type="character" w:customStyle="1" w:styleId="139">
    <w:name w:val="WW8Num20z0"/>
    <w:qFormat/>
    <w:uiPriority w:val="0"/>
  </w:style>
  <w:style w:type="character" w:customStyle="1" w:styleId="140">
    <w:name w:val="WW8Num20z1"/>
    <w:qFormat/>
    <w:uiPriority w:val="0"/>
  </w:style>
  <w:style w:type="character" w:customStyle="1" w:styleId="141">
    <w:name w:val="WW8Num20z2"/>
    <w:qFormat/>
    <w:uiPriority w:val="0"/>
  </w:style>
  <w:style w:type="character" w:customStyle="1" w:styleId="142">
    <w:name w:val="WW8Num20z3"/>
    <w:qFormat/>
    <w:uiPriority w:val="0"/>
  </w:style>
  <w:style w:type="character" w:customStyle="1" w:styleId="143">
    <w:name w:val="WW8Num20z4"/>
    <w:qFormat/>
    <w:uiPriority w:val="0"/>
  </w:style>
  <w:style w:type="character" w:customStyle="1" w:styleId="144">
    <w:name w:val="WW8Num20z5"/>
    <w:qFormat/>
    <w:uiPriority w:val="0"/>
  </w:style>
  <w:style w:type="character" w:customStyle="1" w:styleId="145">
    <w:name w:val="WW8Num20z6"/>
    <w:qFormat/>
    <w:uiPriority w:val="0"/>
  </w:style>
  <w:style w:type="character" w:customStyle="1" w:styleId="146">
    <w:name w:val="WW8Num20z7"/>
    <w:qFormat/>
    <w:uiPriority w:val="0"/>
  </w:style>
  <w:style w:type="character" w:customStyle="1" w:styleId="147">
    <w:name w:val="WW8Num20z8"/>
    <w:qFormat/>
    <w:uiPriority w:val="0"/>
  </w:style>
  <w:style w:type="character" w:customStyle="1" w:styleId="148">
    <w:name w:val="WW8Num21z0"/>
    <w:qFormat/>
    <w:uiPriority w:val="0"/>
  </w:style>
  <w:style w:type="character" w:customStyle="1" w:styleId="149">
    <w:name w:val="WW8Num22z0"/>
    <w:qFormat/>
    <w:uiPriority w:val="0"/>
  </w:style>
  <w:style w:type="character" w:customStyle="1" w:styleId="150">
    <w:name w:val="WW8Num22z1"/>
    <w:qFormat/>
    <w:uiPriority w:val="0"/>
  </w:style>
  <w:style w:type="character" w:customStyle="1" w:styleId="151">
    <w:name w:val="WW8Num22z2"/>
    <w:qFormat/>
    <w:uiPriority w:val="0"/>
  </w:style>
  <w:style w:type="character" w:customStyle="1" w:styleId="152">
    <w:name w:val="WW8Num22z3"/>
    <w:qFormat/>
    <w:uiPriority w:val="0"/>
  </w:style>
  <w:style w:type="character" w:customStyle="1" w:styleId="153">
    <w:name w:val="WW8Num22z4"/>
    <w:qFormat/>
    <w:uiPriority w:val="0"/>
  </w:style>
  <w:style w:type="character" w:customStyle="1" w:styleId="154">
    <w:name w:val="WW8Num22z5"/>
    <w:qFormat/>
    <w:uiPriority w:val="0"/>
  </w:style>
  <w:style w:type="character" w:customStyle="1" w:styleId="155">
    <w:name w:val="WW8Num22z6"/>
    <w:qFormat/>
    <w:uiPriority w:val="0"/>
  </w:style>
  <w:style w:type="character" w:customStyle="1" w:styleId="156">
    <w:name w:val="WW8Num22z7"/>
    <w:qFormat/>
    <w:uiPriority w:val="0"/>
  </w:style>
  <w:style w:type="character" w:customStyle="1" w:styleId="157">
    <w:name w:val="WW8Num22z8"/>
    <w:qFormat/>
    <w:uiPriority w:val="0"/>
  </w:style>
  <w:style w:type="character" w:customStyle="1" w:styleId="158">
    <w:name w:val="WW8Num23z0"/>
    <w:qFormat/>
    <w:uiPriority w:val="0"/>
    <w:rPr>
      <w:rFonts w:ascii="Symbol" w:hAnsi="Symbol" w:cs="Symbol"/>
    </w:rPr>
  </w:style>
  <w:style w:type="character" w:customStyle="1" w:styleId="159">
    <w:name w:val="WW8Num23z1"/>
    <w:qFormat/>
    <w:uiPriority w:val="0"/>
    <w:rPr>
      <w:rFonts w:ascii="Courier New" w:hAnsi="Courier New" w:cs="Courier New"/>
    </w:rPr>
  </w:style>
  <w:style w:type="character" w:customStyle="1" w:styleId="160">
    <w:name w:val="WW8Num23z2"/>
    <w:qFormat/>
    <w:uiPriority w:val="0"/>
    <w:rPr>
      <w:rFonts w:ascii="Wingdings" w:hAnsi="Wingdings" w:cs="Wingdings"/>
    </w:rPr>
  </w:style>
  <w:style w:type="character" w:customStyle="1" w:styleId="161">
    <w:name w:val="WW8Num24z0"/>
    <w:qFormat/>
    <w:uiPriority w:val="0"/>
  </w:style>
  <w:style w:type="character" w:customStyle="1" w:styleId="162">
    <w:name w:val="WW8Num24z1"/>
    <w:qFormat/>
    <w:uiPriority w:val="0"/>
  </w:style>
  <w:style w:type="character" w:customStyle="1" w:styleId="163">
    <w:name w:val="WW8Num24z2"/>
    <w:qFormat/>
    <w:uiPriority w:val="0"/>
  </w:style>
  <w:style w:type="character" w:customStyle="1" w:styleId="164">
    <w:name w:val="WW8Num24z3"/>
    <w:qFormat/>
    <w:uiPriority w:val="0"/>
  </w:style>
  <w:style w:type="character" w:customStyle="1" w:styleId="165">
    <w:name w:val="WW8Num24z4"/>
    <w:qFormat/>
    <w:uiPriority w:val="0"/>
  </w:style>
  <w:style w:type="character" w:customStyle="1" w:styleId="166">
    <w:name w:val="WW8Num24z5"/>
    <w:qFormat/>
    <w:uiPriority w:val="0"/>
  </w:style>
  <w:style w:type="character" w:customStyle="1" w:styleId="167">
    <w:name w:val="WW8Num24z6"/>
    <w:qFormat/>
    <w:uiPriority w:val="0"/>
  </w:style>
  <w:style w:type="character" w:customStyle="1" w:styleId="168">
    <w:name w:val="WW8Num24z7"/>
    <w:qFormat/>
    <w:uiPriority w:val="0"/>
  </w:style>
  <w:style w:type="character" w:customStyle="1" w:styleId="169">
    <w:name w:val="WW8Num24z8"/>
    <w:qFormat/>
    <w:uiPriority w:val="0"/>
  </w:style>
  <w:style w:type="character" w:customStyle="1" w:styleId="170">
    <w:name w:val="WW8Num25z0"/>
    <w:qFormat/>
    <w:uiPriority w:val="0"/>
  </w:style>
  <w:style w:type="character" w:customStyle="1" w:styleId="171">
    <w:name w:val="WW8Num25z1"/>
    <w:qFormat/>
    <w:uiPriority w:val="0"/>
  </w:style>
  <w:style w:type="character" w:customStyle="1" w:styleId="172">
    <w:name w:val="WW8Num25z2"/>
    <w:qFormat/>
    <w:uiPriority w:val="0"/>
  </w:style>
  <w:style w:type="character" w:customStyle="1" w:styleId="173">
    <w:name w:val="WW8Num25z3"/>
    <w:qFormat/>
    <w:uiPriority w:val="0"/>
  </w:style>
  <w:style w:type="character" w:customStyle="1" w:styleId="174">
    <w:name w:val="WW8Num25z4"/>
    <w:qFormat/>
    <w:uiPriority w:val="0"/>
  </w:style>
  <w:style w:type="character" w:customStyle="1" w:styleId="175">
    <w:name w:val="WW8Num25z5"/>
    <w:qFormat/>
    <w:uiPriority w:val="0"/>
  </w:style>
  <w:style w:type="character" w:customStyle="1" w:styleId="176">
    <w:name w:val="WW8Num25z6"/>
    <w:qFormat/>
    <w:uiPriority w:val="0"/>
  </w:style>
  <w:style w:type="character" w:customStyle="1" w:styleId="177">
    <w:name w:val="WW8Num25z7"/>
    <w:qFormat/>
    <w:uiPriority w:val="0"/>
  </w:style>
  <w:style w:type="character" w:customStyle="1" w:styleId="178">
    <w:name w:val="WW8Num25z8"/>
    <w:qFormat/>
    <w:uiPriority w:val="0"/>
  </w:style>
  <w:style w:type="character" w:customStyle="1" w:styleId="179">
    <w:name w:val="WW8Num26z0"/>
    <w:qFormat/>
    <w:uiPriority w:val="0"/>
  </w:style>
  <w:style w:type="character" w:customStyle="1" w:styleId="180">
    <w:name w:val="WW8Num26z1"/>
    <w:qFormat/>
    <w:uiPriority w:val="0"/>
  </w:style>
  <w:style w:type="character" w:customStyle="1" w:styleId="181">
    <w:name w:val="WW8Num26z2"/>
    <w:qFormat/>
    <w:uiPriority w:val="0"/>
  </w:style>
  <w:style w:type="character" w:customStyle="1" w:styleId="182">
    <w:name w:val="WW8Num26z3"/>
    <w:qFormat/>
    <w:uiPriority w:val="0"/>
  </w:style>
  <w:style w:type="character" w:customStyle="1" w:styleId="183">
    <w:name w:val="WW8Num26z4"/>
    <w:qFormat/>
    <w:uiPriority w:val="0"/>
  </w:style>
  <w:style w:type="character" w:customStyle="1" w:styleId="184">
    <w:name w:val="WW8Num26z5"/>
    <w:qFormat/>
    <w:uiPriority w:val="0"/>
  </w:style>
  <w:style w:type="character" w:customStyle="1" w:styleId="185">
    <w:name w:val="WW8Num26z6"/>
    <w:qFormat/>
    <w:uiPriority w:val="0"/>
  </w:style>
  <w:style w:type="character" w:customStyle="1" w:styleId="186">
    <w:name w:val="WW8Num26z7"/>
    <w:qFormat/>
    <w:uiPriority w:val="0"/>
  </w:style>
  <w:style w:type="character" w:customStyle="1" w:styleId="187">
    <w:name w:val="WW8Num26z8"/>
    <w:qFormat/>
    <w:uiPriority w:val="0"/>
  </w:style>
  <w:style w:type="character" w:customStyle="1" w:styleId="188">
    <w:name w:val="WW8Num27z0"/>
    <w:qFormat/>
    <w:uiPriority w:val="0"/>
  </w:style>
  <w:style w:type="character" w:customStyle="1" w:styleId="189">
    <w:name w:val="WW8Num27z1"/>
    <w:qFormat/>
    <w:uiPriority w:val="0"/>
  </w:style>
  <w:style w:type="character" w:customStyle="1" w:styleId="190">
    <w:name w:val="WW8Num27z2"/>
    <w:qFormat/>
    <w:uiPriority w:val="0"/>
  </w:style>
  <w:style w:type="character" w:customStyle="1" w:styleId="191">
    <w:name w:val="WW8Num27z3"/>
    <w:qFormat/>
    <w:uiPriority w:val="0"/>
  </w:style>
  <w:style w:type="character" w:customStyle="1" w:styleId="192">
    <w:name w:val="WW8Num27z4"/>
    <w:qFormat/>
    <w:uiPriority w:val="0"/>
  </w:style>
  <w:style w:type="character" w:customStyle="1" w:styleId="193">
    <w:name w:val="WW8Num27z5"/>
    <w:qFormat/>
    <w:uiPriority w:val="0"/>
  </w:style>
  <w:style w:type="character" w:customStyle="1" w:styleId="194">
    <w:name w:val="WW8Num27z6"/>
    <w:qFormat/>
    <w:uiPriority w:val="0"/>
  </w:style>
  <w:style w:type="character" w:customStyle="1" w:styleId="195">
    <w:name w:val="WW8Num27z7"/>
    <w:qFormat/>
    <w:uiPriority w:val="0"/>
  </w:style>
  <w:style w:type="character" w:customStyle="1" w:styleId="196">
    <w:name w:val="WW8Num27z8"/>
    <w:qFormat/>
    <w:uiPriority w:val="0"/>
  </w:style>
  <w:style w:type="character" w:customStyle="1" w:styleId="197">
    <w:name w:val="WW8Num28z0"/>
    <w:qFormat/>
    <w:uiPriority w:val="0"/>
  </w:style>
  <w:style w:type="character" w:customStyle="1" w:styleId="198">
    <w:name w:val="WW8Num29z0"/>
    <w:qFormat/>
    <w:uiPriority w:val="0"/>
    <w:rPr>
      <w:b/>
    </w:rPr>
  </w:style>
  <w:style w:type="character" w:customStyle="1" w:styleId="199">
    <w:name w:val="WW8Num30z0"/>
    <w:qFormat/>
    <w:uiPriority w:val="0"/>
    <w:rPr>
      <w:b/>
    </w:rPr>
  </w:style>
  <w:style w:type="character" w:customStyle="1" w:styleId="200">
    <w:name w:val="WW8Num31z0"/>
    <w:qFormat/>
    <w:uiPriority w:val="0"/>
    <w:rPr>
      <w:b/>
    </w:rPr>
  </w:style>
  <w:style w:type="character" w:customStyle="1" w:styleId="201">
    <w:name w:val="WW8Num31z1"/>
    <w:qFormat/>
    <w:uiPriority w:val="0"/>
  </w:style>
  <w:style w:type="character" w:customStyle="1" w:styleId="202">
    <w:name w:val="WW8Num31z2"/>
    <w:qFormat/>
    <w:uiPriority w:val="0"/>
  </w:style>
  <w:style w:type="character" w:customStyle="1" w:styleId="203">
    <w:name w:val="WW8Num31z3"/>
    <w:qFormat/>
    <w:uiPriority w:val="0"/>
  </w:style>
  <w:style w:type="character" w:customStyle="1" w:styleId="204">
    <w:name w:val="WW8Num31z4"/>
    <w:qFormat/>
    <w:uiPriority w:val="0"/>
  </w:style>
  <w:style w:type="character" w:customStyle="1" w:styleId="205">
    <w:name w:val="WW8Num31z5"/>
    <w:qFormat/>
    <w:uiPriority w:val="0"/>
  </w:style>
  <w:style w:type="character" w:customStyle="1" w:styleId="206">
    <w:name w:val="WW8Num31z6"/>
    <w:qFormat/>
    <w:uiPriority w:val="0"/>
  </w:style>
  <w:style w:type="character" w:customStyle="1" w:styleId="207">
    <w:name w:val="WW8Num31z7"/>
    <w:qFormat/>
    <w:uiPriority w:val="0"/>
  </w:style>
  <w:style w:type="character" w:customStyle="1" w:styleId="208">
    <w:name w:val="WW8Num31z8"/>
    <w:qFormat/>
    <w:uiPriority w:val="0"/>
  </w:style>
  <w:style w:type="character" w:customStyle="1" w:styleId="209">
    <w:name w:val="Número de página1"/>
    <w:basedOn w:val="11"/>
    <w:qFormat/>
    <w:uiPriority w:val="0"/>
  </w:style>
  <w:style w:type="character" w:customStyle="1" w:styleId="210">
    <w:name w:val="Link da Internet"/>
    <w:qFormat/>
    <w:uiPriority w:val="0"/>
    <w:rPr>
      <w:color w:val="0000FF"/>
      <w:u w:val="single"/>
    </w:rPr>
  </w:style>
  <w:style w:type="character" w:customStyle="1" w:styleId="211">
    <w:name w:val="Link da internet visitado"/>
    <w:qFormat/>
    <w:uiPriority w:val="0"/>
    <w:rPr>
      <w:color w:val="800080"/>
      <w:u w:val="single"/>
    </w:rPr>
  </w:style>
  <w:style w:type="character" w:customStyle="1" w:styleId="212">
    <w:name w:val="Heading 1 Char"/>
    <w:qFormat/>
    <w:uiPriority w:val="0"/>
    <w:rPr>
      <w:rFonts w:ascii="Arial" w:hAnsi="Arial" w:cs="Arial"/>
      <w:i/>
      <w:lang w:val="pt-BR" w:bidi="ar-SA"/>
    </w:rPr>
  </w:style>
  <w:style w:type="character" w:customStyle="1" w:styleId="213">
    <w:name w:val="Heading 2 Char"/>
    <w:qFormat/>
    <w:uiPriority w:val="0"/>
    <w:rPr>
      <w:rFonts w:ascii="Arial" w:hAnsi="Arial" w:cs="Arial"/>
      <w:i/>
      <w:color w:val="FF0000"/>
      <w:sz w:val="24"/>
      <w:lang w:val="pt-BR" w:bidi="ar-SA"/>
    </w:rPr>
  </w:style>
  <w:style w:type="character" w:customStyle="1" w:styleId="214">
    <w:name w:val="Heading 3 Char"/>
    <w:qFormat/>
    <w:uiPriority w:val="0"/>
    <w:rPr>
      <w:rFonts w:ascii="Arial" w:hAnsi="Arial" w:cs="Arial"/>
      <w:b/>
      <w:color w:val="FF0000"/>
      <w:sz w:val="22"/>
      <w:lang w:val="pt-BR" w:bidi="ar-SA"/>
    </w:rPr>
  </w:style>
  <w:style w:type="character" w:customStyle="1" w:styleId="215">
    <w:name w:val="Heading 4 Char"/>
    <w:qFormat/>
    <w:uiPriority w:val="0"/>
    <w:rPr>
      <w:rFonts w:ascii="Arial" w:hAnsi="Arial" w:cs="Arial"/>
      <w:b/>
      <w:sz w:val="22"/>
      <w:lang w:val="pt-BR" w:bidi="ar-SA"/>
    </w:rPr>
  </w:style>
  <w:style w:type="character" w:customStyle="1" w:styleId="216">
    <w:name w:val="Heading 5 Char"/>
    <w:qFormat/>
    <w:uiPriority w:val="0"/>
    <w:rPr>
      <w:rFonts w:ascii="Arial" w:hAnsi="Arial" w:cs="Arial"/>
      <w:b/>
      <w:sz w:val="22"/>
      <w:lang w:val="pt-BR" w:bidi="ar-SA"/>
    </w:rPr>
  </w:style>
  <w:style w:type="character" w:customStyle="1" w:styleId="217">
    <w:name w:val="Heading 6 Char"/>
    <w:qFormat/>
    <w:uiPriority w:val="0"/>
    <w:rPr>
      <w:rFonts w:ascii="Arial" w:hAnsi="Arial" w:cs="Arial"/>
      <w:i/>
      <w:sz w:val="24"/>
      <w:lang w:val="pt-BR" w:bidi="ar-SA"/>
    </w:rPr>
  </w:style>
  <w:style w:type="character" w:customStyle="1" w:styleId="218">
    <w:name w:val="Heading 7 Char"/>
    <w:qFormat/>
    <w:uiPriority w:val="0"/>
    <w:rPr>
      <w:rFonts w:ascii="Arial" w:hAnsi="Arial" w:cs="Arial"/>
      <w:b/>
      <w:bCs/>
      <w:sz w:val="21"/>
      <w:lang w:val="pt-BR" w:bidi="ar-SA"/>
    </w:rPr>
  </w:style>
  <w:style w:type="character" w:customStyle="1" w:styleId="219">
    <w:name w:val="Heading 8 Char"/>
    <w:qFormat/>
    <w:uiPriority w:val="0"/>
    <w:rPr>
      <w:rFonts w:ascii="Arial" w:hAnsi="Arial" w:cs="Arial"/>
      <w:i/>
      <w:sz w:val="24"/>
      <w:lang w:val="pt-BR" w:bidi="ar-SA"/>
    </w:rPr>
  </w:style>
  <w:style w:type="character" w:customStyle="1" w:styleId="220">
    <w:name w:val="Heading 9 Char"/>
    <w:qFormat/>
    <w:uiPriority w:val="0"/>
    <w:rPr>
      <w:rFonts w:ascii="Arial" w:hAnsi="Arial" w:cs="Arial"/>
      <w:i/>
      <w:sz w:val="28"/>
      <w:lang w:val="pt-BR" w:bidi="ar-SA"/>
    </w:rPr>
  </w:style>
  <w:style w:type="character" w:customStyle="1" w:styleId="221">
    <w:name w:val="Header Char"/>
    <w:qFormat/>
    <w:uiPriority w:val="0"/>
    <w:rPr>
      <w:sz w:val="24"/>
      <w:szCs w:val="24"/>
      <w:lang w:val="pt-BR" w:bidi="ar-SA"/>
    </w:rPr>
  </w:style>
  <w:style w:type="character" w:customStyle="1" w:styleId="222">
    <w:name w:val="Footer Char"/>
    <w:qFormat/>
    <w:uiPriority w:val="0"/>
    <w:rPr>
      <w:rFonts w:ascii="Courier (W1);Segoe Print" w:hAnsi="Courier (W1);Segoe Print" w:cs="Courier (W1);Segoe Print"/>
      <w:color w:val="000000"/>
      <w:sz w:val="24"/>
      <w:lang w:val="pt-BR" w:bidi="ar-SA"/>
    </w:rPr>
  </w:style>
  <w:style w:type="character" w:customStyle="1" w:styleId="223">
    <w:name w:val="Title Char"/>
    <w:qFormat/>
    <w:uiPriority w:val="0"/>
    <w:rPr>
      <w:rFonts w:ascii="Arial" w:hAnsi="Arial" w:cs="Arial"/>
      <w:b/>
      <w:bCs/>
      <w:sz w:val="21"/>
      <w:szCs w:val="24"/>
      <w:lang w:val="pt-BR" w:bidi="ar-SA"/>
    </w:rPr>
  </w:style>
  <w:style w:type="character" w:customStyle="1" w:styleId="224">
    <w:name w:val="Body Text Char"/>
    <w:qFormat/>
    <w:uiPriority w:val="0"/>
    <w:rPr>
      <w:sz w:val="24"/>
      <w:szCs w:val="24"/>
      <w:lang w:val="pt-BR" w:bidi="ar-SA"/>
    </w:rPr>
  </w:style>
  <w:style w:type="character" w:customStyle="1" w:styleId="225">
    <w:name w:val="Body Text Indent Char"/>
    <w:qFormat/>
    <w:uiPriority w:val="0"/>
    <w:rPr>
      <w:sz w:val="22"/>
      <w:lang w:val="pt-BR" w:bidi="ar-SA"/>
    </w:rPr>
  </w:style>
  <w:style w:type="character" w:customStyle="1" w:styleId="226">
    <w:name w:val="Body Text 2 Char"/>
    <w:qFormat/>
    <w:uiPriority w:val="0"/>
    <w:rPr>
      <w:rFonts w:ascii="Arial" w:hAnsi="Arial" w:cs="Arial"/>
      <w:i/>
      <w:lang w:val="pt-BR" w:bidi="ar-SA"/>
    </w:rPr>
  </w:style>
  <w:style w:type="character" w:customStyle="1" w:styleId="227">
    <w:name w:val="Body Text 3 Char"/>
    <w:qFormat/>
    <w:uiPriority w:val="0"/>
    <w:rPr>
      <w:rFonts w:ascii="Arial" w:hAnsi="Arial" w:cs="Arial"/>
      <w:sz w:val="24"/>
      <w:szCs w:val="24"/>
      <w:lang w:val="pt-BR" w:bidi="ar-SA"/>
    </w:rPr>
  </w:style>
  <w:style w:type="character" w:customStyle="1" w:styleId="228">
    <w:name w:val="Body Text Indent 2 Char"/>
    <w:qFormat/>
    <w:uiPriority w:val="0"/>
    <w:rPr>
      <w:rFonts w:ascii="Arial" w:hAnsi="Arial" w:cs="Arial"/>
      <w:sz w:val="23"/>
      <w:lang w:val="pt-BR" w:bidi="ar-SA"/>
    </w:rPr>
  </w:style>
  <w:style w:type="character" w:customStyle="1" w:styleId="229">
    <w:name w:val="Body Text Indent 3 Char"/>
    <w:qFormat/>
    <w:uiPriority w:val="0"/>
    <w:rPr>
      <w:rFonts w:ascii="Arial" w:hAnsi="Arial" w:cs="Arial"/>
      <w:bCs/>
      <w:sz w:val="21"/>
      <w:lang w:val="pt-BR" w:bidi="ar-SA"/>
    </w:rPr>
  </w:style>
  <w:style w:type="character" w:customStyle="1" w:styleId="230">
    <w:name w:val="Corpo de texto Char2"/>
    <w:qFormat/>
    <w:uiPriority w:val="0"/>
    <w:rPr>
      <w:sz w:val="24"/>
      <w:szCs w:val="24"/>
      <w:lang w:val="pt-BR"/>
    </w:rPr>
  </w:style>
  <w:style w:type="character" w:customStyle="1" w:styleId="231">
    <w:name w:val="Corpo de texto 2 Char1"/>
    <w:qFormat/>
    <w:uiPriority w:val="0"/>
    <w:rPr>
      <w:rFonts w:ascii="Arial" w:hAnsi="Arial" w:eastAsia="Times New Roman" w:cs="Times New Roman"/>
      <w:i/>
      <w:sz w:val="20"/>
      <w:szCs w:val="20"/>
      <w:lang w:val="pt-BR"/>
    </w:rPr>
  </w:style>
  <w:style w:type="character" w:customStyle="1" w:styleId="232">
    <w:name w:val="Recuo de corpo de texto 3 Char1"/>
    <w:qFormat/>
    <w:uiPriority w:val="0"/>
    <w:rPr>
      <w:rFonts w:ascii="Arial" w:hAnsi="Arial" w:eastAsia="Times New Roman" w:cs="Times New Roman"/>
      <w:bCs/>
      <w:sz w:val="21"/>
      <w:szCs w:val="20"/>
      <w:lang w:val="pt-BR"/>
    </w:rPr>
  </w:style>
  <w:style w:type="character" w:customStyle="1" w:styleId="233">
    <w:name w:val="Subtitle Char"/>
    <w:qFormat/>
    <w:uiPriority w:val="0"/>
    <w:rPr>
      <w:b/>
      <w:sz w:val="23"/>
      <w:lang w:val="pt-BR"/>
    </w:rPr>
  </w:style>
  <w:style w:type="paragraph" w:customStyle="1" w:styleId="234">
    <w:name w:val="Título1"/>
    <w:basedOn w:val="1"/>
    <w:next w:val="15"/>
    <w:qFormat/>
    <w:uiPriority w:val="0"/>
    <w:pPr>
      <w:overflowPunct/>
      <w:autoSpaceDE/>
      <w:jc w:val="center"/>
      <w:textAlignment w:val="auto"/>
    </w:pPr>
    <w:rPr>
      <w:rFonts w:ascii="Arial" w:hAnsi="Arial" w:cs="Arial"/>
      <w:b/>
      <w:bCs/>
      <w:sz w:val="21"/>
      <w:szCs w:val="24"/>
    </w:rPr>
  </w:style>
  <w:style w:type="paragraph" w:customStyle="1" w:styleId="235">
    <w:name w:val="Índice"/>
    <w:basedOn w:val="1"/>
    <w:qFormat/>
    <w:uiPriority w:val="0"/>
    <w:pPr>
      <w:suppressLineNumbers/>
    </w:pPr>
    <w:rPr>
      <w:rFonts w:cs="Mangal"/>
    </w:rPr>
  </w:style>
  <w:style w:type="paragraph" w:customStyle="1" w:styleId="236">
    <w:name w:val="Cabeçalho e Rodapé"/>
    <w:basedOn w:val="1"/>
    <w:qFormat/>
    <w:uiPriority w:val="0"/>
    <w:pPr>
      <w:suppressLineNumbers/>
      <w:tabs>
        <w:tab w:val="center" w:pos="4819"/>
        <w:tab w:val="right" w:pos="9638"/>
      </w:tabs>
    </w:pPr>
  </w:style>
  <w:style w:type="paragraph" w:customStyle="1" w:styleId="237">
    <w:name w:val="Divisão de Tabelas"/>
    <w:basedOn w:val="1"/>
    <w:qFormat/>
    <w:uiPriority w:val="0"/>
    <w:pPr>
      <w:spacing w:line="20" w:lineRule="exact"/>
    </w:pPr>
  </w:style>
  <w:style w:type="paragraph" w:customStyle="1" w:styleId="238">
    <w:name w:val="msonormalcxspmiddle"/>
    <w:basedOn w:val="1"/>
    <w:qFormat/>
    <w:uiPriority w:val="0"/>
    <w:pPr>
      <w:overflowPunct/>
      <w:autoSpaceDE/>
      <w:spacing w:before="100" w:after="100"/>
      <w:textAlignment w:val="auto"/>
    </w:pPr>
    <w:rPr>
      <w:sz w:val="24"/>
      <w:szCs w:val="24"/>
    </w:rPr>
  </w:style>
  <w:style w:type="paragraph" w:customStyle="1" w:styleId="239">
    <w:name w:val="msolistparagraph"/>
    <w:basedOn w:val="1"/>
    <w:qFormat/>
    <w:uiPriority w:val="0"/>
    <w:pPr>
      <w:overflowPunct/>
      <w:autoSpaceDE/>
      <w:spacing w:after="200" w:line="276" w:lineRule="auto"/>
      <w:ind w:left="720"/>
      <w:contextualSpacing/>
      <w:textAlignment w:val="auto"/>
    </w:pPr>
  </w:style>
  <w:style w:type="paragraph" w:customStyle="1" w:styleId="240">
    <w:name w:val="msonormalcxspmiddlecxspmiddle"/>
    <w:basedOn w:val="1"/>
    <w:qFormat/>
    <w:uiPriority w:val="0"/>
    <w:pPr>
      <w:overflowPunct/>
      <w:autoSpaceDE/>
      <w:spacing w:before="100" w:after="100"/>
      <w:textAlignment w:val="auto"/>
    </w:pPr>
    <w:rPr>
      <w:sz w:val="24"/>
      <w:szCs w:val="24"/>
    </w:rPr>
  </w:style>
  <w:style w:type="paragraph" w:styleId="241">
    <w:name w:val="List Paragraph"/>
    <w:basedOn w:val="1"/>
    <w:qFormat/>
    <w:uiPriority w:val="0"/>
    <w:pPr>
      <w:ind w:left="708"/>
    </w:pPr>
  </w:style>
  <w:style w:type="paragraph" w:customStyle="1" w:styleId="242">
    <w:name w:val="msolistparagraphcxspmiddle"/>
    <w:basedOn w:val="1"/>
    <w:qFormat/>
    <w:uiPriority w:val="0"/>
    <w:pPr>
      <w:overflowPunct/>
      <w:autoSpaceDE/>
      <w:spacing w:before="100" w:after="100"/>
      <w:textAlignment w:val="auto"/>
    </w:pPr>
    <w:rPr>
      <w:sz w:val="24"/>
      <w:szCs w:val="24"/>
    </w:rPr>
  </w:style>
  <w:style w:type="paragraph" w:customStyle="1" w:styleId="243">
    <w:name w:val="msolistparagraphcxsplast"/>
    <w:basedOn w:val="1"/>
    <w:qFormat/>
    <w:uiPriority w:val="0"/>
    <w:pPr>
      <w:overflowPunct/>
      <w:autoSpaceDE/>
      <w:spacing w:before="100" w:after="100"/>
      <w:textAlignment w:val="auto"/>
    </w:pPr>
    <w:rPr>
      <w:sz w:val="24"/>
      <w:szCs w:val="24"/>
    </w:rPr>
  </w:style>
  <w:style w:type="paragraph" w:customStyle="1" w:styleId="244">
    <w:name w:val="western"/>
    <w:basedOn w:val="1"/>
    <w:qFormat/>
    <w:uiPriority w:val="0"/>
    <w:pPr>
      <w:overflowPunct/>
      <w:autoSpaceDE/>
      <w:spacing w:before="100"/>
      <w:jc w:val="both"/>
      <w:textAlignment w:val="auto"/>
    </w:pPr>
    <w:rPr>
      <w:sz w:val="24"/>
      <w:szCs w:val="24"/>
    </w:rPr>
  </w:style>
  <w:style w:type="paragraph" w:customStyle="1" w:styleId="245">
    <w:name w:val="Conteúdo da tabela"/>
    <w:basedOn w:val="1"/>
    <w:qFormat/>
    <w:uiPriority w:val="0"/>
    <w:pPr>
      <w:suppressLineNumbers/>
    </w:pPr>
  </w:style>
  <w:style w:type="paragraph" w:customStyle="1" w:styleId="246">
    <w:name w:val="Título de tabela"/>
    <w:basedOn w:val="245"/>
    <w:qFormat/>
    <w:uiPriority w:val="0"/>
    <w:pPr>
      <w:jc w:val="center"/>
    </w:pPr>
    <w:rPr>
      <w:b/>
      <w:bCs/>
    </w:rPr>
  </w:style>
  <w:style w:type="paragraph" w:customStyle="1" w:styleId="247">
    <w:name w:val="Conteúdo do quadro"/>
    <w:basedOn w:val="1"/>
    <w:qFormat/>
    <w:uiPriority w:val="0"/>
  </w:style>
  <w:style w:type="character" w:customStyle="1" w:styleId="248">
    <w:name w:val="Texto de balão Char"/>
    <w:basedOn w:val="11"/>
    <w:link w:val="24"/>
    <w:qFormat/>
    <w:uiPriority w:val="0"/>
    <w:rPr>
      <w:rFonts w:ascii="Tahoma" w:hAnsi="Tahoma" w:eastAsia="Times New Roman" w:cs="Tahoma"/>
      <w:sz w:val="16"/>
      <w:szCs w:val="16"/>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5.emf"/><Relationship Id="rId8" Type="http://schemas.openxmlformats.org/officeDocument/2006/relationships/image" Target="media/image4.emf"/><Relationship Id="rId7" Type="http://schemas.openxmlformats.org/officeDocument/2006/relationships/image" Target="media/image3.emf"/><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em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66</Pages>
  <Words>15004</Words>
  <Characters>81022</Characters>
  <Lines>675</Lines>
  <Paragraphs>191</Paragraphs>
  <TotalTime>2</TotalTime>
  <ScaleCrop>false</ScaleCrop>
  <LinksUpToDate>false</LinksUpToDate>
  <CharactersWithSpaces>95835</CharactersWithSpaces>
  <Application>WPS Office_11.2.0.10382_F1E327BC-269C-435d-A152-05C5408002CA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2021-11-03T20:50:00Z</cp:lastPrinted>
  <dcterms:modified xsi:type="dcterms:W3CDTF">2021-11-30T20:51:22Z</dcterms:modified>
  <dc:title>Convite nº Número da Modalidade/Ano do Processo </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1046-11.2.0.10382</vt:lpwstr>
  </property>
  <property fmtid="{D5CDD505-2E9C-101B-9397-08002B2CF9AE}" pid="14" name="ICV">
    <vt:lpwstr>E974FC9F9D574B3FB6F9C815003A2963</vt:lpwstr>
  </property>
</Properties>
</file>