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267</w:t>
      </w:r>
      <w:r>
        <w:rPr>
          <w:rFonts w:ascii="Times New Roman" w:hAnsi="Times New Roman" w:cs="Times New Roman"/>
          <w:sz w:val="24"/>
          <w:highlight w:val="none"/>
        </w:rPr>
        <w:t>/2021</w:t>
      </w:r>
    </w:p>
    <w:p>
      <w:pPr>
        <w:jc w:val="center"/>
      </w:pPr>
      <w:r>
        <w:rPr>
          <w:b/>
          <w:bCs/>
          <w:sz w:val="24"/>
          <w:szCs w:val="24"/>
        </w:rPr>
        <w:t>PREGÃO PRESENCIAL N°. 155/2021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09h30min</w:t>
      </w:r>
      <w:r>
        <w:rPr>
          <w:b/>
          <w:bCs/>
          <w:sz w:val="24"/>
          <w:szCs w:val="24"/>
        </w:rPr>
        <w:t xml:space="preserve"> do dia</w:t>
      </w:r>
      <w:r>
        <w:rPr>
          <w:rFonts w:hint="default"/>
          <w:b/>
          <w:bCs/>
          <w:sz w:val="24"/>
          <w:szCs w:val="24"/>
          <w:lang w:val="pt-BR"/>
        </w:rPr>
        <w:t xml:space="preserve"> 15 de dezembro de 2021</w:t>
      </w:r>
      <w:r>
        <w:rPr>
          <w:b/>
          <w:bCs/>
          <w:sz w:val="24"/>
          <w:szCs w:val="24"/>
        </w:rPr>
        <w:t>.</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AQUISIÇÃO FUTURA DE TINTAS PARA SINALIZAÇÃO VIÁRIA CONFORME TERMO DE REFERENCIA, PARA ATENDER DEMANDA DA </w:t>
      </w:r>
      <w:r>
        <w:rPr>
          <w:b/>
          <w:bCs/>
          <w:sz w:val="24"/>
          <w:szCs w:val="24"/>
          <w:lang w:val="pt-BR"/>
        </w:rPr>
        <w:t>GERÊNCIA</w:t>
      </w:r>
      <w:r>
        <w:rPr>
          <w:b/>
          <w:bCs/>
          <w:sz w:val="24"/>
          <w:szCs w:val="24"/>
        </w:rPr>
        <w:t xml:space="preserve"> DE SERVIÇOS PÚBLICOS DO MUNICÍPIO DE NAVIRAÍ-MS. PEDIDO DE COMPRA Nº 012/2021.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15</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HORA:</w:t>
      </w:r>
      <w:r>
        <w:rPr>
          <w:rFonts w:hint="default"/>
          <w:sz w:val="24"/>
          <w:szCs w:val="24"/>
          <w:lang w:val="pt-BR"/>
        </w:rPr>
        <w:t xml:space="preserve"> </w:t>
      </w:r>
      <w:r>
        <w:rPr>
          <w:rFonts w:hint="default"/>
          <w:b/>
          <w:bCs/>
          <w:sz w:val="24"/>
          <w:szCs w:val="24"/>
          <w:lang w:val="pt-BR"/>
        </w:rPr>
        <w:t>09h30min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numPr>
          <w:ilvl w:val="0"/>
          <w:numId w:val="0"/>
        </w:numPr>
        <w:ind w:left="360" w:leftChars="0"/>
        <w:jc w:val="both"/>
        <w:textAlignment w:val="auto"/>
        <w:rPr>
          <w:sz w:val="24"/>
          <w:szCs w:val="24"/>
        </w:rPr>
      </w:pPr>
    </w:p>
    <w:p>
      <w:pPr>
        <w:pStyle w:val="239"/>
        <w:numPr>
          <w:ilvl w:val="1"/>
          <w:numId w:val="3"/>
        </w:numPr>
        <w:tabs>
          <w:tab w:val="right" w:pos="9072"/>
        </w:tabs>
        <w:overflowPunct w:val="0"/>
        <w:autoSpaceDE w:val="0"/>
        <w:autoSpaceDN w:val="0"/>
        <w:adjustRightInd w:val="0"/>
        <w:spacing w:after="0" w:line="240" w:lineRule="auto"/>
        <w:jc w:val="both"/>
        <w:textAlignment w:val="baseline"/>
        <w:rPr>
          <w:sz w:val="24"/>
          <w:szCs w:val="24"/>
        </w:rPr>
      </w:pP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tabs>
          <w:tab w:val="right" w:pos="9072"/>
        </w:tabs>
        <w:overflowPunct w:val="0"/>
        <w:autoSpaceDE w:val="0"/>
        <w:autoSpaceDN w:val="0"/>
        <w:adjustRightInd w:val="0"/>
        <w:spacing w:after="0" w:line="240" w:lineRule="auto"/>
        <w:ind w:left="720"/>
        <w:jc w:val="both"/>
        <w:textAlignment w:val="baseline"/>
        <w:rPr>
          <w:rFonts w:eastAsia="Times New Roman"/>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4"/>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4"/>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4"/>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155/2021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15</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09h30min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155/</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15</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09h30min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2"/>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 xml:space="preserve">R$ </w:t>
      </w:r>
      <w:r>
        <w:rPr>
          <w:rFonts w:hint="default"/>
          <w:b/>
          <w:bCs/>
          <w:iCs/>
          <w:sz w:val="24"/>
          <w:szCs w:val="24"/>
          <w:lang w:val="pt-BR"/>
        </w:rPr>
        <w:t>471.836,40</w:t>
      </w:r>
      <w:r>
        <w:rPr>
          <w:b/>
          <w:bCs/>
          <w:iCs/>
          <w:sz w:val="24"/>
          <w:szCs w:val="24"/>
        </w:rPr>
        <w:t xml:space="preserve"> (quatrocentos e </w:t>
      </w:r>
      <w:r>
        <w:rPr>
          <w:rFonts w:hint="default"/>
          <w:b/>
          <w:bCs/>
          <w:iCs/>
          <w:sz w:val="24"/>
          <w:szCs w:val="24"/>
          <w:lang w:val="pt-BR"/>
        </w:rPr>
        <w:t>setenta e um mil oitocentos e trinta e seis reais e quarenta centavos</w:t>
      </w:r>
      <w:r>
        <w:rPr>
          <w:b/>
          <w:bCs/>
          <w:iCs/>
          <w:sz w:val="24"/>
          <w:szCs w:val="24"/>
        </w:rPr>
        <w:t>).</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bookmarkStart w:id="0" w:name="_GoBack"/>
      <w:r>
        <w:rPr>
          <w:rFonts w:hint="default"/>
          <w:b/>
          <w:bCs/>
          <w:sz w:val="24"/>
          <w:szCs w:val="24"/>
          <w:lang w:val="pt-BR"/>
        </w:rPr>
        <w:t>29</w:t>
      </w:r>
      <w:bookmarkEnd w:id="0"/>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rPr>
          <w:rFonts w:ascii="Times New Roman" w:hAnsi="Times New Roman" w:cs="Times New Roman"/>
          <w:b/>
          <w:bCs/>
          <w:i/>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r>
        <w:drawing>
          <wp:inline distT="0" distB="0" distL="114300" distR="114300">
            <wp:extent cx="5784215" cy="314325"/>
            <wp:effectExtent l="0" t="0" r="6985" b="952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4215" cy="314325"/>
                    </a:xfrm>
                    <a:prstGeom prst="rect">
                      <a:avLst/>
                    </a:prstGeom>
                    <a:noFill/>
                    <a:ln>
                      <a:noFill/>
                    </a:ln>
                  </pic:spPr>
                </pic:pic>
              </a:graphicData>
            </a:graphic>
          </wp:inline>
        </w:drawing>
      </w:r>
    </w:p>
    <w:p>
      <w:pPr>
        <w:jc w:val="both"/>
      </w:pPr>
      <w:r>
        <w:rPr>
          <w:b/>
          <w:bCs/>
          <w:sz w:val="24"/>
          <w:szCs w:val="24"/>
        </w:rPr>
        <w:t>1 OBJETO: REGISTRO DE PREÇOS OBJETIVANDO A AQUISIÇÃO FUTURA DE TINTAS PARA SINALIZAÇÃO VIÁRIA CONFORME TERMO DE REFERENCIA, PARA ATENDER DEMANDA DA GER</w:t>
      </w:r>
      <w:r>
        <w:rPr>
          <w:rFonts w:hint="default"/>
          <w:b/>
          <w:bCs/>
          <w:sz w:val="24"/>
          <w:szCs w:val="24"/>
          <w:lang w:val="pt-BR"/>
        </w:rPr>
        <w:t>Ê</w:t>
      </w:r>
      <w:r>
        <w:rPr>
          <w:b/>
          <w:bCs/>
          <w:sz w:val="24"/>
          <w:szCs w:val="24"/>
        </w:rPr>
        <w:t>NCIA DE SERVIÇOS PÚBLICOS DO MUNICÍPIO DE NAVIRAÍ-MS. PEDIDO DE COMPRA Nº 012/2021.</w:t>
      </w:r>
    </w:p>
    <w:tbl>
      <w:tblPr>
        <w:tblStyle w:val="12"/>
        <w:tblW w:w="9299" w:type="dxa"/>
        <w:tblInd w:w="-7" w:type="dxa"/>
        <w:tblLayout w:type="autofit"/>
        <w:tblCellMar>
          <w:top w:w="0" w:type="dxa"/>
          <w:left w:w="108" w:type="dxa"/>
          <w:bottom w:w="0" w:type="dxa"/>
          <w:right w:w="108" w:type="dxa"/>
        </w:tblCellMar>
      </w:tblPr>
      <w:tblGrid>
        <w:gridCol w:w="884"/>
        <w:gridCol w:w="915"/>
        <w:gridCol w:w="825"/>
        <w:gridCol w:w="6675"/>
      </w:tblGrid>
      <w:tr>
        <w:tblPrEx>
          <w:tblCellMar>
            <w:top w:w="0" w:type="dxa"/>
            <w:left w:w="108" w:type="dxa"/>
            <w:bottom w:w="0" w:type="dxa"/>
            <w:right w:w="108" w:type="dxa"/>
          </w:tblCellMar>
        </w:tblPrEx>
        <w:trPr>
          <w:trHeight w:val="364" w:hRule="atLeast"/>
        </w:trPr>
        <w:tc>
          <w:tcPr>
            <w:tcW w:w="884"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915"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825"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675"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88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1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82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667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SOLVENTE PARA DILUIÇÃO DE TINTA ( COMPATÍVEL COM A COMPOSIÇÃO QUÍMICA DAS TINTAS PARA DEMARCAÇÃO VIÁRIA) - TAMBOR 200 LITROS.</w:t>
            </w:r>
          </w:p>
        </w:tc>
      </w:tr>
      <w:tr>
        <w:tblPrEx>
          <w:tblCellMar>
            <w:top w:w="0" w:type="dxa"/>
            <w:left w:w="108" w:type="dxa"/>
            <w:bottom w:w="0" w:type="dxa"/>
            <w:right w:w="108" w:type="dxa"/>
          </w:tblCellMar>
        </w:tblPrEx>
        <w:tc>
          <w:tcPr>
            <w:tcW w:w="88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1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82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667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DEMARCAÇÃO VIÁRIA À BASE DE RESINA ACRÍLICA -  COR CHUMBO FOSCO, RESISTÊNCIA À ABRASÃO MÍNIMA DE 80 LITROS, LATA DE 18 LITROS - DE ACORDO COM A NORMA 11.862 DA ABNT.</w:t>
            </w:r>
          </w:p>
        </w:tc>
      </w:tr>
      <w:tr>
        <w:tblPrEx>
          <w:tblCellMar>
            <w:top w:w="0" w:type="dxa"/>
            <w:left w:w="108" w:type="dxa"/>
            <w:bottom w:w="0" w:type="dxa"/>
            <w:right w:w="108" w:type="dxa"/>
          </w:tblCellMar>
        </w:tblPrEx>
        <w:tc>
          <w:tcPr>
            <w:tcW w:w="88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1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82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67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MICROESFERA DE VIDRO, TIPO "DROP-ON" PARA SER UTILIZADA EM SINALIZAÇÃO RODOVIÁRIA HORIZONTAL A FIM DE PRODUZIR RETROREFLETORIZAÇÃO DA LUZ INCIDENTE, DE ACORDO CO NBR 6831 DA ABNT, ACONDICIONADA EM EMBALAGEM REFORÇADA COM PESO DE 25KG, COM TRATAMENTO DE MEMOSILANO, COM (ASPERSÃO).</w:t>
            </w:r>
          </w:p>
        </w:tc>
      </w:tr>
      <w:tr>
        <w:tblPrEx>
          <w:tblCellMar>
            <w:top w:w="0" w:type="dxa"/>
            <w:left w:w="108" w:type="dxa"/>
            <w:bottom w:w="0" w:type="dxa"/>
            <w:right w:w="108" w:type="dxa"/>
          </w:tblCellMar>
        </w:tblPrEx>
        <w:tc>
          <w:tcPr>
            <w:tcW w:w="88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1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82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67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DEMARCAÇÃO VIÁRIA, NA COR BRANCA, CONFORME TERMO DE REFERÊNCIA.</w:t>
            </w:r>
          </w:p>
        </w:tc>
      </w:tr>
      <w:tr>
        <w:tblPrEx>
          <w:tblCellMar>
            <w:top w:w="0" w:type="dxa"/>
            <w:left w:w="108" w:type="dxa"/>
            <w:bottom w:w="0" w:type="dxa"/>
            <w:right w:w="108" w:type="dxa"/>
          </w:tblCellMar>
        </w:tblPrEx>
        <w:tc>
          <w:tcPr>
            <w:tcW w:w="88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1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82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67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DEMARCAÇÃO VIÁRIA, NA COR AMARELA, CONFORME TERMO DE REFERÊNCIA.</w:t>
            </w:r>
          </w:p>
        </w:tc>
      </w:tr>
      <w:tr>
        <w:tblPrEx>
          <w:tblCellMar>
            <w:top w:w="0" w:type="dxa"/>
            <w:left w:w="108" w:type="dxa"/>
            <w:bottom w:w="0" w:type="dxa"/>
            <w:right w:w="108" w:type="dxa"/>
          </w:tblCellMar>
        </w:tblPrEx>
        <w:tc>
          <w:tcPr>
            <w:tcW w:w="88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1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82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67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DEMARCAÇÃO VIÁRIA, NA COR AZUL, CONFORME TERMO DE REFERÊNCIA.</w:t>
            </w:r>
          </w:p>
        </w:tc>
      </w:tr>
    </w:tbl>
    <w:p>
      <w:pPr>
        <w:pStyle w:val="7"/>
        <w:rPr>
          <w:rFonts w:ascii="Times New Roman" w:hAnsi="Times New Roman" w:cs="Times New Roman"/>
          <w:b/>
          <w:bCs/>
          <w:i w:val="0"/>
          <w:szCs w:val="24"/>
        </w:rPr>
      </w:pPr>
    </w:p>
    <w:p>
      <w:pPr>
        <w:rPr>
          <w:b/>
          <w:bCs/>
          <w:sz w:val="24"/>
          <w:szCs w:val="24"/>
        </w:rPr>
      </w:pPr>
      <w:r>
        <w:drawing>
          <wp:inline distT="0" distB="0" distL="114300" distR="114300">
            <wp:extent cx="5847080" cy="4060190"/>
            <wp:effectExtent l="0" t="0" r="1270" b="1651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7"/>
                    <a:stretch>
                      <a:fillRect/>
                    </a:stretch>
                  </pic:blipFill>
                  <pic:spPr>
                    <a:xfrm>
                      <a:off x="0" y="0"/>
                      <a:ext cx="5847080" cy="4060190"/>
                    </a:xfrm>
                    <a:prstGeom prst="rect">
                      <a:avLst/>
                    </a:prstGeom>
                    <a:noFill/>
                    <a:ln>
                      <a:noFill/>
                    </a:ln>
                  </pic:spPr>
                </pic:pic>
              </a:graphicData>
            </a:graphic>
          </wp:inline>
        </w:drawing>
      </w:r>
    </w:p>
    <w:p>
      <w:pPr>
        <w:rPr>
          <w:b/>
          <w:bCs/>
          <w:sz w:val="24"/>
          <w:szCs w:val="24"/>
        </w:rPr>
      </w:pPr>
      <w:r>
        <w:drawing>
          <wp:inline distT="0" distB="0" distL="114300" distR="114300">
            <wp:extent cx="4449445" cy="2392045"/>
            <wp:effectExtent l="0" t="0" r="8255" b="825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4449445" cy="2392045"/>
                    </a:xfrm>
                    <a:prstGeom prst="rect">
                      <a:avLst/>
                    </a:prstGeom>
                    <a:noFill/>
                    <a:ln>
                      <a:noFill/>
                    </a:ln>
                  </pic:spPr>
                </pic:pic>
              </a:graphicData>
            </a:graphic>
          </wp:inline>
        </w:drawing>
      </w:r>
    </w:p>
    <w:p>
      <w:pPr>
        <w:rPr>
          <w:b/>
          <w:bCs/>
          <w:sz w:val="24"/>
          <w:szCs w:val="24"/>
        </w:rPr>
      </w:pPr>
      <w:r>
        <w:drawing>
          <wp:inline distT="0" distB="0" distL="114300" distR="114300">
            <wp:extent cx="4455160" cy="6024880"/>
            <wp:effectExtent l="0" t="0" r="2540" b="1397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4455160" cy="602488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4998720" cy="5565140"/>
            <wp:effectExtent l="0" t="0" r="11430" b="1651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0"/>
                    <a:stretch>
                      <a:fillRect/>
                    </a:stretch>
                  </pic:blipFill>
                  <pic:spPr>
                    <a:xfrm>
                      <a:off x="0" y="0"/>
                      <a:ext cx="4998720" cy="5565140"/>
                    </a:xfrm>
                    <a:prstGeom prst="rect">
                      <a:avLst/>
                    </a:prstGeom>
                    <a:noFill/>
                    <a:ln>
                      <a:noFill/>
                    </a:ln>
                  </pic:spPr>
                </pic:pic>
              </a:graphicData>
            </a:graphic>
          </wp:inline>
        </w:drawing>
      </w:r>
    </w:p>
    <w:p>
      <w:pPr>
        <w:rPr>
          <w:b/>
          <w:bCs/>
          <w:sz w:val="24"/>
          <w:szCs w:val="24"/>
        </w:rPr>
      </w:pPr>
    </w:p>
    <w:p>
      <w:pPr>
        <w:rPr>
          <w:b/>
          <w:bCs/>
          <w:sz w:val="24"/>
          <w:szCs w:val="24"/>
        </w:rPr>
      </w:pPr>
    </w:p>
    <w:p>
      <w:pPr>
        <w:rPr>
          <w:sz w:val="24"/>
          <w:szCs w:val="24"/>
        </w:rPr>
      </w:pPr>
      <w:r>
        <w:rPr>
          <w:b/>
          <w:bCs/>
          <w:sz w:val="24"/>
          <w:szCs w:val="24"/>
        </w:rPr>
        <w:t xml:space="preserve">2 VALIDADE DA ATA DE REGISTRO DE PREÇOS: </w:t>
      </w:r>
      <w:r>
        <w:rPr>
          <w:bCs/>
          <w:sz w:val="24"/>
          <w:szCs w:val="24"/>
        </w:rPr>
        <w:t>12 (doze) meses.</w:t>
      </w:r>
    </w:p>
    <w:p>
      <w:pPr>
        <w:rPr>
          <w:b/>
          <w:bCs/>
          <w:sz w:val="24"/>
          <w:szCs w:val="24"/>
        </w:rPr>
      </w:pPr>
    </w:p>
    <w:p>
      <w:pPr>
        <w:rPr>
          <w:sz w:val="24"/>
          <w:szCs w:val="24"/>
        </w:rPr>
      </w:pPr>
      <w:r>
        <w:rPr>
          <w:b/>
          <w:bCs/>
          <w:sz w:val="24"/>
          <w:szCs w:val="24"/>
        </w:rPr>
        <w:t xml:space="preserve">3 PRAZO PARA A ENTREGA DOS MATERIAIS: </w:t>
      </w:r>
      <w:r>
        <w:rPr>
          <w:bCs/>
          <w:sz w:val="24"/>
          <w:szCs w:val="24"/>
        </w:rPr>
        <w:t>15 (quinze) dias úteis</w:t>
      </w:r>
    </w:p>
    <w:p>
      <w:pPr>
        <w:rPr>
          <w:b/>
          <w:bCs/>
          <w:sz w:val="24"/>
          <w:szCs w:val="24"/>
        </w:rPr>
      </w:pPr>
    </w:p>
    <w:p>
      <w:pPr>
        <w:rPr>
          <w:sz w:val="24"/>
          <w:szCs w:val="24"/>
        </w:rPr>
      </w:pPr>
      <w:r>
        <w:rPr>
          <w:b/>
          <w:bCs/>
          <w:sz w:val="24"/>
          <w:szCs w:val="24"/>
        </w:rPr>
        <w:t xml:space="preserve">4 PRAZO PARA SUBSTITUIÇÃO: </w:t>
      </w:r>
      <w:r>
        <w:rPr>
          <w:bCs/>
          <w:sz w:val="24"/>
          <w:szCs w:val="24"/>
        </w:rPr>
        <w:t>15 (quinze) dias úteis</w:t>
      </w:r>
    </w:p>
    <w:p>
      <w:pPr>
        <w:rPr>
          <w:b/>
          <w:bCs/>
          <w:sz w:val="24"/>
          <w:szCs w:val="24"/>
        </w:rPr>
      </w:pPr>
    </w:p>
    <w:p>
      <w:pPr>
        <w:rPr>
          <w:sz w:val="24"/>
          <w:szCs w:val="24"/>
        </w:rPr>
      </w:pPr>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rPr>
          <w:sz w:val="24"/>
          <w:szCs w:val="24"/>
        </w:rPr>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PREFEITURA DE NAVIRAÍ - MS</w:t>
      </w:r>
    </w:p>
    <w:p>
      <w:pPr>
        <w:jc w:val="center"/>
        <w:rPr>
          <w:rFonts w:eastAsia="Arial Unicode MS"/>
          <w:b/>
          <w:sz w:val="24"/>
          <w:szCs w:val="24"/>
        </w:rPr>
      </w:pPr>
      <w:r>
        <w:rPr>
          <w:rFonts w:eastAsia="Arial Unicode MS"/>
          <w:b/>
          <w:sz w:val="22"/>
          <w:szCs w:val="22"/>
        </w:rPr>
        <w:t>ESTADO DE MATO GROSSO DO SUL</w:t>
      </w:r>
    </w:p>
    <w:p>
      <w:pPr>
        <w:pStyle w:val="235"/>
        <w:rPr>
          <w:rFonts w:eastAsia="Arial Unicode MS"/>
          <w:b/>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155/2021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5333" w:type="dxa"/>
        <w:tblInd w:w="-41" w:type="dxa"/>
        <w:tblLayout w:type="autofit"/>
        <w:tblCellMar>
          <w:top w:w="0" w:type="dxa"/>
          <w:left w:w="108" w:type="dxa"/>
          <w:bottom w:w="0" w:type="dxa"/>
          <w:right w:w="108" w:type="dxa"/>
        </w:tblCellMar>
      </w:tblPr>
      <w:tblGrid>
        <w:gridCol w:w="834"/>
        <w:gridCol w:w="835"/>
        <w:gridCol w:w="697"/>
        <w:gridCol w:w="8891"/>
        <w:gridCol w:w="1290"/>
        <w:gridCol w:w="1245"/>
        <w:gridCol w:w="1541"/>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8891"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290"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245"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541"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8891"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SOLVENTE PARA DILUIÇÃO DE TINTA ( COMPATÍVEL COM A COMPOSIÇÃO QUÍMICA DAS TINTAS PARA DEMARCAÇÃO VIÁRIA) - TAMBOR 200 LITROS.</w:t>
            </w:r>
          </w:p>
        </w:tc>
        <w:tc>
          <w:tcPr>
            <w:tcW w:w="1290"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245"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541"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8891"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DEMARCAÇÃO VIÁRIA À BASE DE RESINA ACRÍLICA -  COR CHUMBO FOSCO, RESISTÊNCIA À ABRASÃO MÍNIMA DE 80 LITROS, LATA DE 18 LITROS - DE ACORDO COM A NORMA 11.862 DA ABNT.</w:t>
            </w:r>
          </w:p>
        </w:tc>
        <w:tc>
          <w:tcPr>
            <w:tcW w:w="1290" w:type="dxa"/>
            <w:tcBorders>
              <w:left w:val="single" w:color="000000" w:sz="6" w:space="0"/>
              <w:bottom w:val="single" w:color="000000" w:sz="4" w:space="0"/>
            </w:tcBorders>
          </w:tcPr>
          <w:p>
            <w:pPr>
              <w:snapToGrid w:val="0"/>
              <w:spacing w:line="276" w:lineRule="auto"/>
              <w:jc w:val="center"/>
              <w:rPr>
                <w:rFonts w:eastAsia="Arial Unicode MS"/>
              </w:rPr>
            </w:pPr>
          </w:p>
        </w:tc>
        <w:tc>
          <w:tcPr>
            <w:tcW w:w="1245" w:type="dxa"/>
            <w:tcBorders>
              <w:left w:val="single" w:color="000000" w:sz="6" w:space="0"/>
              <w:bottom w:val="single" w:color="000000" w:sz="4" w:space="0"/>
            </w:tcBorders>
          </w:tcPr>
          <w:p>
            <w:pPr>
              <w:snapToGrid w:val="0"/>
              <w:spacing w:line="276" w:lineRule="auto"/>
              <w:jc w:val="center"/>
              <w:rPr>
                <w:rFonts w:eastAsia="Arial Unicode MS"/>
              </w:rPr>
            </w:pPr>
          </w:p>
        </w:tc>
        <w:tc>
          <w:tcPr>
            <w:tcW w:w="1541"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8891"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MICROESFERA DE VIDRO, TIPO "DROP-ON" PARA SER UTILIZADA EM SINALIZAÇÃO RODOVIÁRIA HORIZONTAL A FIM DE PRODUZIR RETROREFLETORIZAÇÃO DA LUZ INCIDENTE, DE ACORDO CO NBR 6831 DA ABNT, ACONDICIONADA EM EMBALAGEM REFORÇADA COM PESO DE 25KG, COM TRATAMENTO DE MEMOSILANO, COM (ASPERSÃO).</w:t>
            </w:r>
          </w:p>
        </w:tc>
        <w:tc>
          <w:tcPr>
            <w:tcW w:w="1290" w:type="dxa"/>
            <w:tcBorders>
              <w:left w:val="single" w:color="000000" w:sz="6" w:space="0"/>
              <w:bottom w:val="single" w:color="000000" w:sz="4" w:space="0"/>
            </w:tcBorders>
          </w:tcPr>
          <w:p>
            <w:pPr>
              <w:snapToGrid w:val="0"/>
              <w:spacing w:line="276" w:lineRule="auto"/>
              <w:jc w:val="center"/>
              <w:rPr>
                <w:rFonts w:eastAsia="Arial Unicode MS"/>
              </w:rPr>
            </w:pPr>
          </w:p>
        </w:tc>
        <w:tc>
          <w:tcPr>
            <w:tcW w:w="1245" w:type="dxa"/>
            <w:tcBorders>
              <w:left w:val="single" w:color="000000" w:sz="6" w:space="0"/>
              <w:bottom w:val="single" w:color="000000" w:sz="4" w:space="0"/>
            </w:tcBorders>
          </w:tcPr>
          <w:p>
            <w:pPr>
              <w:snapToGrid w:val="0"/>
              <w:spacing w:line="276" w:lineRule="auto"/>
              <w:jc w:val="center"/>
              <w:rPr>
                <w:rFonts w:eastAsia="Arial Unicode MS"/>
              </w:rPr>
            </w:pPr>
          </w:p>
        </w:tc>
        <w:tc>
          <w:tcPr>
            <w:tcW w:w="1541"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8891"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DEMARCAÇÃO VIÁRIA, NA COR BRANCA, CONFORME TERMO DE REFERÊNCIA.</w:t>
            </w:r>
          </w:p>
        </w:tc>
        <w:tc>
          <w:tcPr>
            <w:tcW w:w="1290" w:type="dxa"/>
            <w:tcBorders>
              <w:left w:val="single" w:color="000000" w:sz="6" w:space="0"/>
              <w:bottom w:val="single" w:color="000000" w:sz="4" w:space="0"/>
            </w:tcBorders>
          </w:tcPr>
          <w:p>
            <w:pPr>
              <w:snapToGrid w:val="0"/>
              <w:spacing w:line="276" w:lineRule="auto"/>
              <w:jc w:val="center"/>
              <w:rPr>
                <w:rFonts w:eastAsia="Arial Unicode MS"/>
              </w:rPr>
            </w:pPr>
          </w:p>
        </w:tc>
        <w:tc>
          <w:tcPr>
            <w:tcW w:w="1245" w:type="dxa"/>
            <w:tcBorders>
              <w:left w:val="single" w:color="000000" w:sz="6" w:space="0"/>
              <w:bottom w:val="single" w:color="000000" w:sz="4" w:space="0"/>
            </w:tcBorders>
          </w:tcPr>
          <w:p>
            <w:pPr>
              <w:snapToGrid w:val="0"/>
              <w:spacing w:line="276" w:lineRule="auto"/>
              <w:jc w:val="center"/>
              <w:rPr>
                <w:rFonts w:eastAsia="Arial Unicode MS"/>
              </w:rPr>
            </w:pPr>
          </w:p>
        </w:tc>
        <w:tc>
          <w:tcPr>
            <w:tcW w:w="1541"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8891"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DEMARCAÇÃO VIÁRIA, NA COR AMARELA, CONFORME TERMO DE REFERÊNCIA.</w:t>
            </w:r>
          </w:p>
        </w:tc>
        <w:tc>
          <w:tcPr>
            <w:tcW w:w="1290" w:type="dxa"/>
            <w:tcBorders>
              <w:left w:val="single" w:color="000000" w:sz="6" w:space="0"/>
              <w:bottom w:val="single" w:color="000000" w:sz="4" w:space="0"/>
            </w:tcBorders>
          </w:tcPr>
          <w:p>
            <w:pPr>
              <w:snapToGrid w:val="0"/>
              <w:spacing w:line="276" w:lineRule="auto"/>
              <w:jc w:val="center"/>
              <w:rPr>
                <w:rFonts w:eastAsia="Arial Unicode MS"/>
              </w:rPr>
            </w:pPr>
          </w:p>
        </w:tc>
        <w:tc>
          <w:tcPr>
            <w:tcW w:w="1245" w:type="dxa"/>
            <w:tcBorders>
              <w:left w:val="single" w:color="000000" w:sz="6" w:space="0"/>
              <w:bottom w:val="single" w:color="000000" w:sz="4" w:space="0"/>
            </w:tcBorders>
          </w:tcPr>
          <w:p>
            <w:pPr>
              <w:snapToGrid w:val="0"/>
              <w:spacing w:line="276" w:lineRule="auto"/>
              <w:jc w:val="center"/>
              <w:rPr>
                <w:rFonts w:eastAsia="Arial Unicode MS"/>
              </w:rPr>
            </w:pPr>
          </w:p>
        </w:tc>
        <w:tc>
          <w:tcPr>
            <w:tcW w:w="1541"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8891"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DEMARCAÇÃO VIÁRIA, NA COR AZUL, CONFORME TERMO DE REFERÊNCIA.</w:t>
            </w:r>
          </w:p>
        </w:tc>
        <w:tc>
          <w:tcPr>
            <w:tcW w:w="1290" w:type="dxa"/>
            <w:tcBorders>
              <w:left w:val="single" w:color="000000" w:sz="6" w:space="0"/>
              <w:bottom w:val="single" w:color="000000" w:sz="4" w:space="0"/>
            </w:tcBorders>
          </w:tcPr>
          <w:p>
            <w:pPr>
              <w:snapToGrid w:val="0"/>
              <w:spacing w:line="276" w:lineRule="auto"/>
              <w:jc w:val="center"/>
              <w:rPr>
                <w:rFonts w:eastAsia="Arial Unicode MS"/>
              </w:rPr>
            </w:pPr>
          </w:p>
        </w:tc>
        <w:tc>
          <w:tcPr>
            <w:tcW w:w="1245" w:type="dxa"/>
            <w:tcBorders>
              <w:left w:val="single" w:color="000000" w:sz="6" w:space="0"/>
              <w:bottom w:val="single" w:color="000000" w:sz="4" w:space="0"/>
            </w:tcBorders>
          </w:tcPr>
          <w:p>
            <w:pPr>
              <w:snapToGrid w:val="0"/>
              <w:spacing w:line="276" w:lineRule="auto"/>
              <w:jc w:val="center"/>
              <w:rPr>
                <w:rFonts w:eastAsia="Arial Unicode MS"/>
              </w:rPr>
            </w:pPr>
          </w:p>
        </w:tc>
        <w:tc>
          <w:tcPr>
            <w:tcW w:w="1541"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rPr>
          <w:sz w:val="20"/>
          <w:szCs w:val="20"/>
        </w:rPr>
      </w:pPr>
      <w:r>
        <w:rPr>
          <w:rFonts w:eastAsia="Arial Unicode MS"/>
          <w:sz w:val="20"/>
          <w:szCs w:val="20"/>
        </w:rPr>
        <w:t xml:space="preserve">Declaro que examinei, conheço e me submeto a todas as condições contidas no Edital da presente Licitação modalidade Pregão Presenciais nº. </w:t>
      </w:r>
      <w:r>
        <w:rPr>
          <w:rFonts w:eastAsia="Arial Unicode MS"/>
          <w:b/>
          <w:bCs/>
          <w:sz w:val="20"/>
          <w:szCs w:val="20"/>
        </w:rPr>
        <w:t>155/2</w:t>
      </w:r>
      <w:r>
        <w:rPr>
          <w:rFonts w:eastAsia="Arial Unicode MS"/>
          <w:b/>
          <w:sz w:val="20"/>
          <w:szCs w:val="20"/>
        </w:rPr>
        <w:t>021</w:t>
      </w:r>
      <w:r>
        <w:rPr>
          <w:rFonts w:eastAsia="Arial Unicode MS"/>
          <w:sz w:val="20"/>
          <w:szCs w:val="20"/>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rPr>
          <w:sz w:val="20"/>
          <w:szCs w:val="20"/>
        </w:rPr>
      </w:pPr>
      <w:r>
        <w:rPr>
          <w:rFonts w:eastAsia="Arial Unicode MS"/>
          <w:b/>
          <w:sz w:val="20"/>
          <w:szCs w:val="20"/>
        </w:rPr>
        <w:t>PRAZO DE VALIDADE DA PROPOSTA</w:t>
      </w:r>
      <w:r>
        <w:rPr>
          <w:rFonts w:eastAsia="Arial Unicode MS"/>
          <w:sz w:val="20"/>
          <w:szCs w:val="20"/>
        </w:rPr>
        <w:t>: MÍNIMO DE 60 (SESSENTA) DIAS, CONTADOS DA DATA DA ABERTURA DA MESMA.</w:t>
      </w:r>
    </w:p>
    <w:p>
      <w:pPr>
        <w:jc w:val="center"/>
        <w:rPr>
          <w:rFonts w:eastAsia="Arial Unicode MS"/>
          <w:sz w:val="20"/>
          <w:szCs w:val="20"/>
        </w:rPr>
      </w:pPr>
      <w:r>
        <w:rPr>
          <w:rFonts w:eastAsia="Arial Unicode MS"/>
          <w:sz w:val="20"/>
          <w:szCs w:val="20"/>
        </w:rPr>
        <w:t>(Local)............................., data.................................de 2021.</w:t>
      </w:r>
    </w:p>
    <w:p>
      <w:pPr>
        <w:jc w:val="center"/>
        <w:rPr>
          <w:rFonts w:hint="default" w:eastAsia="Arial Unicode MS"/>
          <w:sz w:val="20"/>
          <w:szCs w:val="20"/>
          <w:lang w:val="pt-BR"/>
        </w:rPr>
      </w:pPr>
      <w:r>
        <w:rPr>
          <w:rFonts w:eastAsia="Arial Unicode MS"/>
          <w:sz w:val="20"/>
          <w:szCs w:val="20"/>
        </w:rPr>
        <w:t>Nome e assinatura do responsável/representante da empresa.</w:t>
      </w:r>
      <w:r>
        <w:rPr>
          <w:rFonts w:hint="default" w:eastAsia="Arial Unicode MS"/>
          <w:sz w:val="20"/>
          <w:szCs w:val="20"/>
          <w:lang w:val="pt-BR"/>
        </w:rPr>
        <w:t xml:space="preserve">       </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0"/>
          <w:szCs w:val="20"/>
        </w:rPr>
        <w:t>CPF nº...........................</w:t>
      </w: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267/2021 </w:t>
      </w:r>
    </w:p>
    <w:p>
      <w:pPr>
        <w:jc w:val="center"/>
      </w:pPr>
      <w:r>
        <w:rPr>
          <w:b/>
          <w:bCs/>
          <w:sz w:val="24"/>
          <w:szCs w:val="24"/>
          <w:lang w:eastAsia="pt-BR"/>
        </w:rPr>
        <w:t>PREGÃO PRESENCIAL Nº 155/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155/</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numPr>
          <w:ilvl w:val="1"/>
          <w:numId w:val="6"/>
        </w:numPr>
        <w:jc w:val="both"/>
        <w:rPr>
          <w:sz w:val="24"/>
          <w:szCs w:val="24"/>
          <w:lang w:eastAsia="pt-BR"/>
        </w:rPr>
      </w:pPr>
      <w:r>
        <w:rPr>
          <w:sz w:val="24"/>
          <w:szCs w:val="24"/>
          <w:lang w:eastAsia="pt-BR"/>
        </w:rPr>
        <w:t xml:space="preserve">- A presente Ata tem por objeto o </w:t>
      </w:r>
      <w:r>
        <w:rPr>
          <w:b/>
          <w:sz w:val="24"/>
          <w:szCs w:val="24"/>
          <w:lang w:eastAsia="pt-BR"/>
        </w:rPr>
        <w:t>REGISTRO DE PREÇOS OBJETIVANDO A AQUISIÇÃO FUTURA DE TINTAS PARA SINALIZAÇÃO VIÁRIA CONFORME TERMO DE REFERENCIA, PARA ATENDER DEMANDA DA GERÊNCIA DE SERVIÇOS PÚBLICOS DO MUNICÍPIO DE NAVIRAÍ-MS. PEDIDO DE COMPRA Nº 012/2021.</w:t>
      </w:r>
      <w:r>
        <w:rPr>
          <w:sz w:val="24"/>
          <w:szCs w:val="24"/>
          <w:lang w:eastAsia="pt-BR"/>
        </w:rPr>
        <w:t xml:space="preserve">, conforme as especificações da proposta de preços apresentada no Pregão Presencial n° </w:t>
      </w:r>
      <w:r>
        <w:rPr>
          <w:b/>
          <w:bCs/>
          <w:sz w:val="24"/>
          <w:szCs w:val="24"/>
          <w:lang w:eastAsia="pt-BR"/>
        </w:rPr>
        <w:t>155/</w:t>
      </w:r>
      <w:r>
        <w:rPr>
          <w:b/>
          <w:sz w:val="24"/>
          <w:szCs w:val="24"/>
          <w:lang w:eastAsia="pt-BR"/>
        </w:rPr>
        <w:t>2021</w:t>
      </w:r>
      <w:r>
        <w:rPr>
          <w:sz w:val="24"/>
          <w:szCs w:val="24"/>
          <w:lang w:eastAsia="pt-BR"/>
        </w:rPr>
        <w:t xml:space="preserve">, Processo n° </w:t>
      </w:r>
      <w:r>
        <w:rPr>
          <w:b/>
          <w:bCs/>
          <w:sz w:val="24"/>
          <w:szCs w:val="24"/>
          <w:lang w:eastAsia="pt-BR"/>
        </w:rPr>
        <w:t>267/</w:t>
      </w:r>
      <w:r>
        <w:rPr>
          <w:b/>
          <w:sz w:val="24"/>
          <w:szCs w:val="24"/>
          <w:lang w:eastAsia="pt-BR"/>
        </w:rPr>
        <w:t>2021</w:t>
      </w:r>
      <w:r>
        <w:rPr>
          <w:sz w:val="24"/>
          <w:szCs w:val="24"/>
          <w:lang w:eastAsia="pt-BR"/>
        </w:rPr>
        <w:t>, os quais, independentemente de transcrição, fazem parte deste instrumento, naquilo que não o contrarie.</w:t>
      </w:r>
    </w:p>
    <w:p>
      <w:pPr>
        <w:numPr>
          <w:ilvl w:val="0"/>
          <w:numId w:val="0"/>
        </w:numPr>
        <w:ind w:leftChars="0"/>
        <w:jc w:val="both"/>
        <w:rPr>
          <w:sz w:val="24"/>
          <w:szCs w:val="24"/>
          <w:lang w:eastAsia="pt-BR"/>
        </w:rPr>
      </w:pPr>
    </w:p>
    <w:p>
      <w:pPr>
        <w:numPr>
          <w:ilvl w:val="0"/>
          <w:numId w:val="0"/>
        </w:numPr>
        <w:ind w:leftChars="0"/>
        <w:jc w:val="both"/>
        <w:rPr>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155</w:t>
      </w:r>
      <w:r>
        <w:rPr>
          <w:b/>
          <w:sz w:val="24"/>
          <w:szCs w:val="24"/>
          <w:lang w:eastAsia="pt-BR"/>
        </w:rPr>
        <w:t>/2021</w:t>
      </w:r>
      <w:r>
        <w:rPr>
          <w:sz w:val="24"/>
          <w:szCs w:val="24"/>
          <w:lang w:eastAsia="pt-BR"/>
        </w:rPr>
        <w:t xml:space="preserve"> – Processo nº. 267</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155/2021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267/2021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155/2021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7"/>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TINTAS PARA SINALIZAÇÃO VIÁRIA CONFORME TERMO DE REFERENCIA, PARA ATENDER DEMANDA DA </w:t>
      </w:r>
      <w:r>
        <w:rPr>
          <w:b/>
          <w:iCs/>
          <w:sz w:val="24"/>
          <w:szCs w:val="24"/>
          <w:lang w:val="pt-BR"/>
        </w:rPr>
        <w:t>GERÊNCIA</w:t>
      </w:r>
      <w:r>
        <w:rPr>
          <w:b/>
          <w:iCs/>
          <w:sz w:val="24"/>
          <w:szCs w:val="24"/>
        </w:rPr>
        <w:t xml:space="preserve"> DE SERVIÇOS PÚBLICOS DO MUNICÍPIO DE NAVIRAÍ-MS. PEDIDO DE COMPRA Nº 012/2021.</w:t>
      </w:r>
    </w:p>
    <w:p>
      <w:pPr>
        <w:widowControl w:val="0"/>
        <w:numPr>
          <w:ilvl w:val="0"/>
          <w:numId w:val="0"/>
        </w:numPr>
        <w:tabs>
          <w:tab w:val="left" w:pos="1440"/>
        </w:tabs>
        <w:ind w:leftChars="0" w:right="0" w:rightChars="0"/>
        <w:jc w:val="both"/>
        <w:textAlignment w:val="auto"/>
      </w:pPr>
    </w:p>
    <w:p>
      <w:pPr>
        <w:widowControl w:val="0"/>
        <w:numPr>
          <w:ilvl w:val="1"/>
          <w:numId w:val="7"/>
        </w:numPr>
        <w:tabs>
          <w:tab w:val="left" w:pos="1440"/>
        </w:tabs>
        <w:ind w:left="0" w:right="0" w:firstLine="0"/>
        <w:jc w:val="both"/>
        <w:textAlignment w:val="auto"/>
      </w:pPr>
      <w:r>
        <w:rPr>
          <w:rFonts w:hint="default" w:eastAsia="Times New Roman"/>
          <w:b/>
          <w:bCs w:val="0"/>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numPr>
          <w:ilvl w:val="0"/>
          <w:numId w:val="0"/>
        </w:numPr>
        <w:tabs>
          <w:tab w:val="left" w:pos="1440"/>
        </w:tabs>
        <w:ind w:leftChars="0" w:right="0" w:rightChars="0"/>
        <w:jc w:val="both"/>
        <w:textAlignment w:val="auto"/>
      </w:pPr>
    </w:p>
    <w:tbl>
      <w:tblPr>
        <w:tblStyle w:val="12"/>
        <w:tblW w:w="9652" w:type="dxa"/>
        <w:tblInd w:w="-7" w:type="dxa"/>
        <w:tblLayout w:type="fixed"/>
        <w:tblCellMar>
          <w:top w:w="0" w:type="dxa"/>
          <w:left w:w="108" w:type="dxa"/>
          <w:bottom w:w="0" w:type="dxa"/>
          <w:right w:w="108" w:type="dxa"/>
        </w:tblCellMar>
      </w:tblPr>
      <w:tblGrid>
        <w:gridCol w:w="661"/>
        <w:gridCol w:w="621"/>
        <w:gridCol w:w="705"/>
        <w:gridCol w:w="7665"/>
      </w:tblGrid>
      <w:tr>
        <w:tblPrEx>
          <w:tblCellMar>
            <w:top w:w="0" w:type="dxa"/>
            <w:left w:w="108" w:type="dxa"/>
            <w:bottom w:w="0" w:type="dxa"/>
            <w:right w:w="108" w:type="dxa"/>
          </w:tblCellMar>
        </w:tblPrEx>
        <w:trPr>
          <w:trHeight w:val="364" w:hRule="atLeast"/>
        </w:trPr>
        <w:tc>
          <w:tcPr>
            <w:tcW w:w="661"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621"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705"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7665"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621"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70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766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SOLVENTE PARA DILUIÇÃO DE TINTA ( COMPATÍVEL COM A COMPOSIÇÃO QUÍMICA DAS TINTAS PARA DEMARCAÇÃO VIÁRIA) - TAMBOR 200 LITROS.</w:t>
            </w:r>
          </w:p>
        </w:tc>
      </w:tr>
      <w:tr>
        <w:tblPrEx>
          <w:tblCellMar>
            <w:top w:w="0" w:type="dxa"/>
            <w:left w:w="108" w:type="dxa"/>
            <w:bottom w:w="0" w:type="dxa"/>
            <w:right w:w="108" w:type="dxa"/>
          </w:tblCellMar>
        </w:tblPrEx>
        <w:tc>
          <w:tcPr>
            <w:tcW w:w="66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621"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70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6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DEMARCAÇÃO VIÁRIA À BASE DE RESINA ACRÍLICA -  COR CHUMBO FOSCO, RESISTÊNCIA À ABRASÃO MÍNIMA DE 80 LITROS, LATA DE 18 LITROS - DE ACORDO COM A NORMA 11.862 DA ABNT.</w:t>
            </w:r>
          </w:p>
        </w:tc>
      </w:tr>
      <w:tr>
        <w:tblPrEx>
          <w:tblCellMar>
            <w:top w:w="0" w:type="dxa"/>
            <w:left w:w="108" w:type="dxa"/>
            <w:bottom w:w="0" w:type="dxa"/>
            <w:right w:w="108" w:type="dxa"/>
          </w:tblCellMar>
        </w:tblPrEx>
        <w:tc>
          <w:tcPr>
            <w:tcW w:w="66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621"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70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65"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MICROESFERA DE VIDRO, TIPO "DROP-ON" PARA SER UTILIZADA EM SINALIZAÇÃO RODOVIÁRIA HORIZONTAL A FIM DE PRODUZIR RETROREFLETORIZAÇÃO DA LUZ INCIDENTE, DE ACORDO CO NBR 6831 DA ABNT, ACONDICIONADA EM EMBALAGEM REFORÇADA COM PESO DE 25KG, COM TRATAMENTO DE MEMOSILANO, COM (ASPERSÃO).</w:t>
            </w:r>
          </w:p>
        </w:tc>
      </w:tr>
      <w:tr>
        <w:tblPrEx>
          <w:tblCellMar>
            <w:top w:w="0" w:type="dxa"/>
            <w:left w:w="108" w:type="dxa"/>
            <w:bottom w:w="0" w:type="dxa"/>
            <w:right w:w="108" w:type="dxa"/>
          </w:tblCellMar>
        </w:tblPrEx>
        <w:tc>
          <w:tcPr>
            <w:tcW w:w="66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621"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70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65"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TINTA PARA DEMARCAÇÃO VIÁRIA, NA COR BRANCA, CONFORME TERMO DE REFERÊNCIA</w:t>
            </w:r>
            <w:r>
              <w:rPr>
                <w:rFonts w:hint="default" w:eastAsia="Arial Unicode MS"/>
                <w:lang w:val="pt-BR"/>
              </w:rPr>
              <w:t>:</w:t>
            </w:r>
          </w:p>
          <w:p>
            <w:pPr>
              <w:spacing w:line="276" w:lineRule="auto"/>
              <w:jc w:val="both"/>
              <w:rPr>
                <w:rFonts w:hint="default" w:eastAsia="Arial Unicode MS"/>
                <w:lang w:val="pt-BR"/>
              </w:rPr>
            </w:pPr>
            <w:r>
              <w:drawing>
                <wp:inline distT="0" distB="0" distL="114300" distR="114300">
                  <wp:extent cx="4671695" cy="558800"/>
                  <wp:effectExtent l="0" t="0" r="14605" b="1270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pic:cNvPicPr>
                        </pic:nvPicPr>
                        <pic:blipFill>
                          <a:blip r:embed="rId11"/>
                          <a:stretch>
                            <a:fillRect/>
                          </a:stretch>
                        </pic:blipFill>
                        <pic:spPr>
                          <a:xfrm>
                            <a:off x="0" y="0"/>
                            <a:ext cx="4671695" cy="5588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66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621"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70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65"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TINTA PARA DEMARCAÇÃO VIÁRIA, NA COR AMARELA, CONFORME TERMO DE REFERÊNCIA</w:t>
            </w:r>
            <w:r>
              <w:rPr>
                <w:rFonts w:hint="default" w:eastAsia="Arial Unicode MS"/>
                <w:lang w:val="pt-BR"/>
              </w:rPr>
              <w:t>:</w:t>
            </w:r>
          </w:p>
          <w:p>
            <w:pPr>
              <w:spacing w:line="276" w:lineRule="auto"/>
              <w:jc w:val="both"/>
              <w:rPr>
                <w:rFonts w:hint="default" w:eastAsia="Arial Unicode MS"/>
                <w:lang w:val="pt-BR"/>
              </w:rPr>
            </w:pPr>
            <w:r>
              <w:drawing>
                <wp:inline distT="0" distB="0" distL="114300" distR="114300">
                  <wp:extent cx="4690745" cy="567055"/>
                  <wp:effectExtent l="0" t="0" r="14605" b="4445"/>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12"/>
                          <a:stretch>
                            <a:fillRect/>
                          </a:stretch>
                        </pic:blipFill>
                        <pic:spPr>
                          <a:xfrm>
                            <a:off x="0" y="0"/>
                            <a:ext cx="4690745" cy="5670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66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621"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70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65"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TINTA PARA DEMARCAÇÃO VIÁRIA, NA COR AZUL, CONFORME TERMO DE REFERÊNCIA</w:t>
            </w:r>
            <w:r>
              <w:rPr>
                <w:rFonts w:hint="default" w:eastAsia="Arial Unicode MS"/>
                <w:lang w:val="pt-BR"/>
              </w:rPr>
              <w:t>:</w:t>
            </w:r>
          </w:p>
          <w:p>
            <w:pPr>
              <w:spacing w:line="276" w:lineRule="auto"/>
              <w:jc w:val="both"/>
              <w:rPr>
                <w:rFonts w:hint="default" w:eastAsia="Arial Unicode MS"/>
                <w:lang w:val="pt-BR"/>
              </w:rPr>
            </w:pPr>
            <w:r>
              <w:drawing>
                <wp:inline distT="0" distB="0" distL="114300" distR="114300">
                  <wp:extent cx="4643120" cy="570865"/>
                  <wp:effectExtent l="0" t="0" r="5080" b="635"/>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pic:cNvPicPr>
                        </pic:nvPicPr>
                        <pic:blipFill>
                          <a:blip r:embed="rId13"/>
                          <a:stretch>
                            <a:fillRect/>
                          </a:stretch>
                        </pic:blipFill>
                        <pic:spPr>
                          <a:xfrm>
                            <a:off x="0" y="0"/>
                            <a:ext cx="4643120" cy="570865"/>
                          </a:xfrm>
                          <a:prstGeom prst="rect">
                            <a:avLst/>
                          </a:prstGeom>
                          <a:noFill/>
                          <a:ln>
                            <a:noFill/>
                          </a:ln>
                        </pic:spPr>
                      </pic:pic>
                    </a:graphicData>
                  </a:graphic>
                </wp:inline>
              </w:drawing>
            </w:r>
          </w:p>
        </w:tc>
      </w:tr>
    </w:tbl>
    <w:p>
      <w:pPr>
        <w:widowControl w:val="0"/>
        <w:numPr>
          <w:ilvl w:val="0"/>
          <w:numId w:val="0"/>
        </w:numPr>
        <w:tabs>
          <w:tab w:val="left" w:pos="1440"/>
        </w:tabs>
        <w:ind w:leftChars="0" w:right="0" w:rightChars="0"/>
        <w:jc w:val="both"/>
        <w:textAlignment w:val="auto"/>
      </w:pP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8"/>
        </w:numPr>
        <w:rPr>
          <w:bCs/>
          <w:iCs/>
        </w:rPr>
      </w:pPr>
      <w:r>
        <w:rPr>
          <w:bCs/>
          <w:iCs/>
        </w:rPr>
        <w:t xml:space="preserve">Advertência; </w:t>
      </w:r>
    </w:p>
    <w:p>
      <w:pPr>
        <w:pStyle w:val="15"/>
        <w:ind w:left="900" w:right="0" w:firstLine="0"/>
        <w:rPr>
          <w:bCs/>
          <w:iCs/>
        </w:rPr>
      </w:pPr>
    </w:p>
    <w:p>
      <w:pPr>
        <w:pStyle w:val="15"/>
        <w:numPr>
          <w:ilvl w:val="0"/>
          <w:numId w:val="8"/>
        </w:numPr>
        <w:rPr>
          <w:bCs/>
          <w:iCs/>
        </w:rPr>
      </w:pPr>
      <w:r>
        <w:rPr>
          <w:bCs/>
          <w:iCs/>
        </w:rPr>
        <w:t>Multa de 10% (dez por cento) do valor do contrato,</w:t>
      </w:r>
    </w:p>
    <w:p>
      <w:pPr>
        <w:pStyle w:val="15"/>
        <w:numPr>
          <w:ilvl w:val="0"/>
          <w:numId w:val="8"/>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155/2021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155/2021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155/2021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155</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155/2021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155/2021</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155</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b/>
          <w:bCs/>
          <w:sz w:val="24"/>
          <w:szCs w:val="24"/>
        </w:rPr>
      </w:pPr>
      <w:r>
        <w:rPr>
          <w:b/>
          <w:bCs/>
          <w:sz w:val="24"/>
          <w:szCs w:val="24"/>
        </w:rPr>
        <w:t>PREGÃO PRESENCIAL N°. 155/2021</w:t>
      </w:r>
    </w:p>
    <w:p>
      <w:pPr>
        <w:keepNext/>
        <w:keepLines/>
        <w:widowControl w:val="0"/>
        <w:spacing w:before="20" w:after="0"/>
        <w:jc w:val="center"/>
        <w:rPr>
          <w:b/>
          <w:bCs/>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EED5D"/>
    <w:multiLevelType w:val="multilevel"/>
    <w:tmpl w:val="99EEED5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C8AC8EF"/>
    <w:multiLevelType w:val="singleLevel"/>
    <w:tmpl w:val="9C8AC8EF"/>
    <w:lvl w:ilvl="0" w:tentative="0">
      <w:start w:val="1"/>
      <w:numFmt w:val="lowerLetter"/>
      <w:lvlText w:val="%1)"/>
      <w:lvlJc w:val="left"/>
      <w:pPr>
        <w:tabs>
          <w:tab w:val="left" w:pos="720"/>
        </w:tabs>
        <w:ind w:left="720" w:hanging="360"/>
      </w:pPr>
      <w:rPr>
        <w:b/>
        <w:bCs/>
        <w:sz w:val="24"/>
        <w:szCs w:val="24"/>
      </w:rPr>
    </w:lvl>
  </w:abstractNum>
  <w:abstractNum w:abstractNumId="2">
    <w:nsid w:val="D7F9FE59"/>
    <w:multiLevelType w:val="singleLevel"/>
    <w:tmpl w:val="D7F9FE59"/>
    <w:lvl w:ilvl="0" w:tentative="0">
      <w:start w:val="1"/>
      <w:numFmt w:val="lowerLetter"/>
      <w:lvlText w:val="%1)"/>
      <w:lvlJc w:val="left"/>
      <w:pPr>
        <w:tabs>
          <w:tab w:val="left" w:pos="720"/>
        </w:tabs>
        <w:ind w:left="720" w:hanging="360"/>
      </w:pPr>
    </w:lvl>
  </w:abstractNum>
  <w:abstractNum w:abstractNumId="3">
    <w:nsid w:val="DCBA6B53"/>
    <w:multiLevelType w:val="multilevel"/>
    <w:tmpl w:val="DCBA6B53"/>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E640482"/>
    <w:multiLevelType w:val="singleLevel"/>
    <w:tmpl w:val="0E640482"/>
    <w:lvl w:ilvl="0" w:tentative="0">
      <w:start w:val="1"/>
      <w:numFmt w:val="upperRoman"/>
      <w:lvlText w:val="%1-"/>
      <w:lvlJc w:val="left"/>
      <w:pPr>
        <w:ind w:left="900" w:hanging="720"/>
      </w:pPr>
      <w:rPr>
        <w:bCs/>
        <w:iCs/>
      </w:rPr>
    </w:lvl>
  </w:abstractNum>
  <w:abstractNum w:abstractNumId="5">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6">
    <w:nsid w:val="4C1BAE26"/>
    <w:multiLevelType w:val="singleLevel"/>
    <w:tmpl w:val="4C1BAE26"/>
    <w:lvl w:ilvl="0" w:tentative="0">
      <w:start w:val="1"/>
      <w:numFmt w:val="lowerLetter"/>
      <w:lvlText w:val="%1)"/>
      <w:lvlJc w:val="left"/>
      <w:pPr>
        <w:tabs>
          <w:tab w:val="left" w:pos="1257"/>
        </w:tabs>
        <w:ind w:left="1257" w:hanging="690"/>
      </w:pPr>
    </w:lvl>
  </w:abstractNum>
  <w:abstractNum w:abstractNumId="7">
    <w:nsid w:val="60382F6E"/>
    <w:multiLevelType w:val="multilevel"/>
    <w:tmpl w:val="60382F6E"/>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num w:numId="1">
    <w:abstractNumId w:val="3"/>
  </w:num>
  <w:num w:numId="2">
    <w:abstractNumId w:val="2"/>
  </w:num>
  <w:num w:numId="3">
    <w:abstractNumId w:val="5"/>
  </w:num>
  <w:num w:numId="4">
    <w:abstractNumId w:val="1"/>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853F2E"/>
    <w:rsid w:val="21F56E62"/>
    <w:rsid w:val="225E729F"/>
    <w:rsid w:val="3D942B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15800</Words>
  <Characters>91623</Characters>
  <Paragraphs>893</Paragraphs>
  <TotalTime>9</TotalTime>
  <ScaleCrop>false</ScaleCrop>
  <LinksUpToDate>false</LinksUpToDate>
  <CharactersWithSpaces>106980</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2021-11-26T12:22:00Z</cp:lastPrinted>
  <dcterms:modified xsi:type="dcterms:W3CDTF">2021-12-01T11:05:31Z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2E97EDEA5BF34B949EF4A5AA71C2F75A</vt:lpwstr>
  </property>
</Properties>
</file>