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2º </w:t>
      </w:r>
      <w:r>
        <w:rPr>
          <w:rFonts w:eastAsia="Times New Roman"/>
          <w:b/>
          <w:iCs/>
          <w:sz w:val="21"/>
          <w:szCs w:val="21"/>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25</w:t>
      </w:r>
      <w:r>
        <w:rPr>
          <w:rFonts w:eastAsia="Times New Roman"/>
          <w:iCs/>
          <w:sz w:val="21"/>
          <w:szCs w:val="21"/>
          <w:lang w:eastAsia="pt-BR"/>
        </w:rPr>
        <w:t xml:space="preserve"> de </w:t>
      </w:r>
      <w:r>
        <w:rPr>
          <w:rFonts w:hint="default" w:eastAsia="Times New Roman"/>
          <w:iCs/>
          <w:sz w:val="21"/>
          <w:szCs w:val="21"/>
          <w:lang w:val="en-US" w:eastAsia="pt-BR"/>
        </w:rPr>
        <w:t>maio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003/2022</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040/2022</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rFonts w:hint="default"/>
          <w:sz w:val="22"/>
          <w:lang w:val="pt-BR"/>
        </w:rPr>
        <w:t xml:space="preserve"> e suas alterações pela Portaria 051 de 24 de janeiro de 2022 e Portaria 283 de 10 de maio de 2022 </w:t>
      </w:r>
      <w:r>
        <w:rPr>
          <w:iCs/>
          <w:sz w:val="22"/>
        </w:rPr>
        <w:t xml:space="preserve">, sito na </w:t>
      </w:r>
      <w:r>
        <w:rPr>
          <w:iCs/>
          <w:sz w:val="22"/>
          <w:lang w:val="pt-BR"/>
        </w:rPr>
        <w:t>Avenida Weimar Gonçalves Torres, nº 862</w:t>
      </w:r>
      <w:r>
        <w:rPr>
          <w:iCs/>
          <w:sz w:val="22"/>
        </w:rPr>
        <w:t xml:space="preserve">,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 xml:space="preserve">13 de junho de </w:t>
      </w:r>
      <w:r>
        <w:rPr>
          <w:rFonts w:eastAsia="Times New Roman"/>
          <w:b/>
          <w:bCs/>
          <w:sz w:val="21"/>
          <w:szCs w:val="21"/>
          <w:lang w:val="en-US" w:eastAsia="pt-BR"/>
        </w:rPr>
        <w:t>202</w:t>
      </w:r>
      <w:r>
        <w:rPr>
          <w:rFonts w:hint="default" w:eastAsia="Times New Roman"/>
          <w:b/>
          <w:bCs/>
          <w:sz w:val="21"/>
          <w:szCs w:val="21"/>
          <w:lang w:val="en-US" w:eastAsia="pt-BR"/>
        </w:rPr>
        <w:t>2</w:t>
      </w:r>
      <w:r>
        <w:rPr>
          <w:rFonts w:eastAsia="Times New Roman"/>
          <w:b/>
          <w:bCs/>
          <w:iCs/>
          <w:sz w:val="21"/>
          <w:szCs w:val="21"/>
          <w:lang w:eastAsia="pt-BR"/>
        </w:rPr>
        <w:t xml:space="preserve">, às </w:t>
      </w:r>
      <w:r>
        <w:rPr>
          <w:rFonts w:eastAsia="Times New Roman"/>
          <w:b/>
          <w:bCs/>
          <w:iCs/>
          <w:sz w:val="21"/>
          <w:szCs w:val="21"/>
          <w:lang w:val="en-US" w:eastAsia="pt-BR"/>
        </w:rPr>
        <w:t>08h00min.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numId w:val="0"/>
        </w:numPr>
        <w:overflowPunct/>
        <w:spacing w:before="0" w:after="0" w:line="240" w:lineRule="auto"/>
        <w:ind w:leftChars="0" w:right="-1" w:rightChars="0"/>
        <w:jc w:val="both"/>
        <w:textAlignment w:val="baseline"/>
        <w:rPr>
          <w:rFonts w:eastAsia="Times New Roman"/>
          <w:iCs/>
          <w:sz w:val="21"/>
          <w:szCs w:val="21"/>
          <w:lang w:eastAsia="pt-BR"/>
        </w:rPr>
      </w:pPr>
    </w:p>
    <w:p>
      <w:pPr>
        <w:pStyle w:val="32"/>
        <w:rPr>
          <w:rFonts w:hint="default"/>
          <w:sz w:val="24"/>
          <w:szCs w:val="24"/>
          <w:lang w:val="pt-BR"/>
        </w:rPr>
      </w:pPr>
      <w:r>
        <w:rPr>
          <w:rFonts w:hint="default" w:eastAsia="Times New Roman"/>
          <w:b w:val="0"/>
          <w:bCs w:val="0"/>
          <w:iCs/>
          <w:sz w:val="24"/>
          <w:szCs w:val="24"/>
          <w:lang w:val="en-US" w:eastAsia="pt-BR"/>
        </w:rPr>
        <w:t>1.</w:t>
      </w:r>
      <w:r>
        <w:rPr>
          <w:rFonts w:hint="default"/>
          <w:b w:val="0"/>
          <w:bCs w:val="0"/>
          <w:iCs/>
          <w:sz w:val="24"/>
          <w:szCs w:val="24"/>
          <w:lang w:val="en-US" w:eastAsia="pt-BR"/>
        </w:rPr>
        <w:t>4</w:t>
      </w:r>
      <w:r>
        <w:rPr>
          <w:rFonts w:hint="default" w:eastAsia="Times New Roman"/>
          <w:b w:val="0"/>
          <w:bCs w:val="0"/>
          <w:iCs/>
          <w:sz w:val="24"/>
          <w:szCs w:val="24"/>
          <w:lang w:val="en-US" w:eastAsia="pt-BR"/>
        </w:rPr>
        <w:t xml:space="preserve"> -</w:t>
      </w:r>
      <w:r>
        <w:rPr>
          <w:rFonts w:hint="default" w:eastAsia="Times New Roman"/>
          <w:iCs/>
          <w:sz w:val="24"/>
          <w:szCs w:val="24"/>
          <w:lang w:val="en-US" w:eastAsia="pt-BR"/>
        </w:rPr>
        <w:t xml:space="preserve">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numPr>
          <w:numId w:val="0"/>
        </w:numPr>
        <w:overflowPunct/>
        <w:spacing w:before="0" w:after="0" w:line="240" w:lineRule="auto"/>
        <w:ind w:leftChars="0" w:right="-1" w:rightChars="0"/>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13</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DATA DE ABERTURA:</w:t>
                            </w:r>
                            <w:r>
                              <w:rPr>
                                <w:rFonts w:hint="default" w:ascii="Arial" w:hAnsi="Arial" w:cs="Arial"/>
                                <w:b/>
                                <w:iCs/>
                                <w:lang w:val="pt-BR"/>
                              </w:rPr>
                              <w:t>13</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DATA DE ABERTURA:</w:t>
                      </w:r>
                      <w:r>
                        <w:rPr>
                          <w:rFonts w:hint="default" w:ascii="Arial" w:hAnsi="Arial" w:cs="Arial"/>
                          <w:b/>
                          <w:iCs/>
                          <w:lang w:val="pt-BR"/>
                        </w:rPr>
                        <w:t>13</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ind w:left="567" w:hanging="567"/>
        <w:jc w:val="both"/>
        <w:rPr>
          <w:rFonts w:eastAsia="Calibri"/>
          <w:sz w:val="24"/>
          <w:szCs w:val="24"/>
        </w:rPr>
      </w:pP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hint="default" w:ascii="Times New Roman" w:hAnsi="Times New Roman" w:cs="Times New Roman"/>
          <w:b/>
          <w:bCs/>
          <w:lang w:val="pt-BR"/>
        </w:rPr>
        <w:t>8</w:t>
      </w:r>
      <w:r>
        <w:rPr>
          <w:rFonts w:ascii="Times New Roman" w:hAnsi="Times New Roman" w:cs="Times New Roman"/>
          <w:b/>
        </w:rPr>
        <w:t xml:space="preserve">h às </w:t>
      </w:r>
      <w:r>
        <w:rPr>
          <w:rFonts w:ascii="Times New Roman" w:hAnsi="Times New Roman" w:cs="Times New Roman"/>
          <w:b/>
          <w:lang w:val="pt-BR"/>
        </w:rPr>
        <w:t>1</w:t>
      </w:r>
      <w:r>
        <w:rPr>
          <w:rFonts w:hint="default" w:ascii="Times New Roman" w:hAnsi="Times New Roman" w:cs="Times New Roman"/>
          <w:b/>
          <w:lang w:val="pt-BR"/>
        </w:rPr>
        <w:t>1</w:t>
      </w:r>
      <w:r>
        <w:rPr>
          <w:rFonts w:ascii="Times New Roman" w:hAnsi="Times New Roman" w:cs="Times New Roman"/>
          <w:b/>
          <w:lang w:val="pt-BR"/>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8"/>
          <w:szCs w:val="28"/>
        </w:rPr>
      </w:pPr>
      <w:r>
        <w:rPr>
          <w:rFonts w:hint="default"/>
          <w:b/>
          <w:sz w:val="28"/>
          <w:szCs w:val="28"/>
          <w:lang w:val="pt-BR"/>
        </w:rPr>
        <w:t>Construção de Pavimento com Aplicação de Concreto Betuminoso Usinado a Quente (CBUQ), camada de rolamento, com espessura de 3,0 cm - exclusive transporte;</w:t>
      </w:r>
    </w:p>
    <w:p>
      <w:pPr>
        <w:numPr>
          <w:ilvl w:val="0"/>
          <w:numId w:val="0"/>
        </w:numPr>
        <w:overflowPunct/>
        <w:spacing w:before="0" w:after="0" w:line="240" w:lineRule="auto"/>
        <w:ind w:left="360" w:leftChars="0"/>
        <w:jc w:val="both"/>
        <w:textAlignment w:val="baseline"/>
        <w:rPr>
          <w:b/>
          <w:sz w:val="24"/>
          <w:szCs w:val="24"/>
        </w:rPr>
      </w:pP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1.295.385,95</w:t>
      </w:r>
      <w:r>
        <w:rPr>
          <w:rFonts w:eastAsia="Times New Roman"/>
          <w:b/>
          <w:bCs/>
          <w:iCs/>
          <w:sz w:val="21"/>
          <w:szCs w:val="21"/>
          <w:lang w:eastAsia="pt-BR"/>
        </w:rPr>
        <w:t xml:space="preserve"> (</w:t>
      </w:r>
      <w:r>
        <w:rPr>
          <w:rFonts w:hint="default" w:eastAsia="Times New Roman"/>
          <w:b/>
          <w:bCs/>
          <w:iCs/>
          <w:sz w:val="21"/>
          <w:szCs w:val="21"/>
          <w:lang w:val="en-US" w:eastAsia="pt-BR"/>
        </w:rPr>
        <w:t xml:space="preserve">um milhão duzentos e noventa e cinco mil trezentos e oitenta e cinco reais e noventa e cinco </w:t>
      </w:r>
      <w:bookmarkStart w:id="0" w:name="_GoBack"/>
      <w:bookmarkEnd w:id="0"/>
      <w:r>
        <w:rPr>
          <w:rFonts w:eastAsia="Times New Roman"/>
          <w:b/>
          <w:bCs/>
          <w:iCs/>
          <w:sz w:val="21"/>
          <w:szCs w:val="21"/>
          <w:lang w:val="en-US" w:eastAsia="pt-BR"/>
        </w:rPr>
        <w:t>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150</w:t>
      </w:r>
      <w:r>
        <w:rPr>
          <w:b/>
          <w:sz w:val="24"/>
          <w:szCs w:val="24"/>
        </w:rPr>
        <w:t xml:space="preserve"> (</w:t>
      </w:r>
      <w:r>
        <w:rPr>
          <w:rFonts w:hint="default"/>
          <w:b/>
          <w:sz w:val="24"/>
          <w:szCs w:val="24"/>
          <w:lang w:val="pt-BR"/>
        </w:rPr>
        <w:t>cento e cinquenta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rFonts w:hint="default"/>
          <w:b/>
          <w:bCs/>
          <w:iCs/>
          <w:sz w:val="24"/>
          <w:szCs w:val="24"/>
          <w:lang w:val="pt-BR"/>
        </w:rPr>
        <w:t>210</w:t>
      </w:r>
      <w:r>
        <w:rPr>
          <w:b/>
          <w:iCs/>
          <w:sz w:val="24"/>
          <w:szCs w:val="24"/>
        </w:rPr>
        <w:t xml:space="preserve"> </w:t>
      </w:r>
      <w:r>
        <w:rPr>
          <w:b/>
          <w:sz w:val="24"/>
          <w:szCs w:val="24"/>
        </w:rPr>
        <w:t>(</w:t>
      </w:r>
      <w:r>
        <w:rPr>
          <w:rFonts w:hint="default"/>
          <w:b/>
          <w:sz w:val="24"/>
          <w:szCs w:val="24"/>
          <w:lang w:val="pt-BR"/>
        </w:rPr>
        <w:t>duzentos e dez</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rFonts w:hint="default"/>
          <w:iCs/>
          <w:sz w:val="24"/>
          <w:szCs w:val="24"/>
          <w:lang w:val="pt-BR"/>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w:t>
      </w:r>
      <w:r>
        <w:rPr>
          <w:rFonts w:hint="default"/>
          <w:iCs/>
          <w:sz w:val="24"/>
          <w:szCs w:val="24"/>
          <w:lang w:val="pt-BR"/>
        </w:rPr>
        <w:t xml:space="preserve">ou RRT de execução </w:t>
      </w:r>
      <w:r>
        <w:rPr>
          <w:iCs/>
          <w:sz w:val="24"/>
          <w:szCs w:val="24"/>
        </w:rPr>
        <w:t>para início da obra</w:t>
      </w:r>
      <w:r>
        <w:rPr>
          <w:rFonts w:hint="default"/>
          <w:iCs/>
          <w:sz w:val="24"/>
          <w:szCs w:val="24"/>
          <w:lang w:val="pt-BR"/>
        </w:rPr>
        <w:t>;</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w:t>
      </w:r>
      <w:r>
        <w:rPr>
          <w:rFonts w:hint="default" w:eastAsia="Times New Roman"/>
          <w:iCs/>
          <w:sz w:val="22"/>
          <w:lang w:val="en-US" w:eastAsia="pt-BR"/>
        </w:rPr>
        <w:t>e Transferência Especial e d</w:t>
      </w:r>
      <w:r>
        <w:rPr>
          <w:rFonts w:eastAsia="Times New Roman"/>
          <w:iCs/>
          <w:sz w:val="22"/>
          <w:lang w:val="en-US" w:eastAsia="pt-BR"/>
        </w:rPr>
        <w:t xml:space="preserve">e Recursos Próprios da </w:t>
      </w:r>
      <w:r>
        <w:rPr>
          <w:rFonts w:hint="default" w:eastAsia="Times New Roman"/>
          <w:iCs/>
          <w:sz w:val="22"/>
          <w:lang w:val="en-US" w:eastAsia="pt-BR"/>
        </w:rPr>
        <w:t>Gerência de Obras</w:t>
      </w:r>
      <w:r>
        <w:rPr>
          <w:rFonts w:eastAsia="Times New Roman"/>
          <w:iCs/>
          <w:sz w:val="22"/>
          <w:lang w:eastAsia="pt-BR"/>
        </w:rPr>
        <w:t>, sendo que a despesa decorrente da execução do objeto da presente licitação correrá a cargo da</w:t>
      </w:r>
      <w:r>
        <w:rPr>
          <w:rFonts w:hint="default" w:eastAsia="Times New Roman"/>
          <w:iCs/>
          <w:sz w:val="22"/>
          <w:lang w:val="en-US" w:eastAsia="pt-BR"/>
        </w:rPr>
        <w:t>s</w:t>
      </w:r>
      <w:r>
        <w:rPr>
          <w:rFonts w:eastAsia="Times New Roman"/>
          <w:iCs/>
          <w:sz w:val="22"/>
          <w:lang w:eastAsia="pt-BR"/>
        </w:rPr>
        <w:t xml:space="preserve"> seguinte</w:t>
      </w:r>
      <w:r>
        <w:rPr>
          <w:rFonts w:hint="default" w:eastAsia="Times New Roman"/>
          <w:iCs/>
          <w:sz w:val="22"/>
          <w:lang w:val="en-US" w:eastAsia="pt-BR"/>
        </w:rPr>
        <w:t xml:space="preserve">s </w:t>
      </w:r>
      <w:r>
        <w:rPr>
          <w:rFonts w:eastAsia="Times New Roman"/>
          <w:iCs/>
          <w:sz w:val="22"/>
          <w:lang w:eastAsia="pt-BR"/>
        </w:rPr>
        <w:t>dotaç</w:t>
      </w:r>
      <w:r>
        <w:rPr>
          <w:rFonts w:hint="default" w:eastAsia="Times New Roman"/>
          <w:iCs/>
          <w:sz w:val="22"/>
          <w:lang w:val="en-US" w:eastAsia="pt-BR"/>
        </w:rPr>
        <w:t>ões</w:t>
      </w:r>
      <w:r>
        <w:rPr>
          <w:rFonts w:eastAsia="Times New Roman"/>
          <w:iCs/>
          <w:sz w:val="22"/>
          <w:lang w:eastAsia="pt-BR"/>
        </w:rPr>
        <w:t xml:space="preserve"> orçamentária</w:t>
      </w:r>
      <w:r>
        <w:rPr>
          <w:rFonts w:hint="default" w:eastAsia="Times New Roman"/>
          <w:iCs/>
          <w:sz w:val="22"/>
          <w:lang w:val="en-US" w:eastAsia="pt-BR"/>
        </w:rPr>
        <w:t>s</w:t>
      </w:r>
      <w:r>
        <w:rPr>
          <w:rFonts w:eastAsia="Times New Roman"/>
          <w:iCs/>
          <w:sz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OBRAS</w:t>
      </w:r>
      <w:r>
        <w:rPr>
          <w:rFonts w:eastAsia="Times New Roman"/>
          <w:b/>
          <w:iCs/>
          <w:sz w:val="22"/>
          <w:lang w:eastAsia="pt-BR"/>
        </w:rPr>
        <w:t xml:space="preserve"> – </w:t>
      </w:r>
      <w:r>
        <w:rPr>
          <w:rFonts w:hint="default" w:eastAsia="Times New Roman"/>
          <w:b/>
          <w:iCs/>
          <w:sz w:val="22"/>
          <w:lang w:val="en-US" w:eastAsia="pt-BR"/>
        </w:rPr>
        <w:t xml:space="preserve">DOTAÇÕES </w:t>
      </w:r>
      <w:r>
        <w:rPr>
          <w:rFonts w:eastAsia="Times New Roman"/>
          <w:b/>
          <w:iCs/>
          <w:sz w:val="22"/>
          <w:lang w:eastAsia="pt-BR"/>
        </w:rPr>
        <w:t>ORÇAMENTÁRIA</w:t>
      </w:r>
      <w:r>
        <w:rPr>
          <w:rFonts w:hint="default" w:eastAsia="Times New Roman"/>
          <w:b/>
          <w:iCs/>
          <w:sz w:val="22"/>
          <w:lang w:val="en-US" w:eastAsia="pt-BR"/>
        </w:rPr>
        <w:t>S</w:t>
      </w:r>
      <w:r>
        <w:rPr>
          <w:rFonts w:eastAsia="Times New Roman"/>
          <w:b/>
          <w:iCs/>
          <w:sz w:val="22"/>
          <w:lang w:eastAsia="pt-BR"/>
        </w:rPr>
        <w:t xml:space="preserve">: </w:t>
      </w:r>
      <w:r>
        <w:rPr>
          <w:rFonts w:hint="default" w:eastAsia="Times New Roman"/>
          <w:b/>
          <w:iCs/>
          <w:sz w:val="22"/>
          <w:lang w:val="en-US" w:eastAsia="pt-BR"/>
        </w:rPr>
        <w:t>01.04.15.451.0401.1.005-44.920.51.00.00.00 (R 11680) e 01.04.15.451.0401.1.005-44.90.51.00.00.00 (R 4367).</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rFonts w:hint="default"/>
          <w:b/>
          <w:bCs/>
          <w:sz w:val="24"/>
          <w:szCs w:val="24"/>
          <w:lang w:val="pt-BR"/>
        </w:rPr>
      </w:pPr>
      <w:r>
        <w:rPr>
          <w:rFonts w:hint="default"/>
          <w:b/>
          <w:bCs/>
          <w:sz w:val="24"/>
          <w:szCs w:val="24"/>
          <w:lang w:val="pt-BR"/>
        </w:rPr>
        <w:t>Avenida Weimar Gonçalves Torres, nº 862</w:t>
      </w:r>
    </w:p>
    <w:p>
      <w:pPr>
        <w:spacing w:before="0" w:after="0"/>
        <w:ind w:left="567" w:right="-1" w:firstLine="0"/>
        <w:jc w:val="both"/>
        <w:rPr>
          <w:b/>
          <w:bCs/>
          <w:sz w:val="24"/>
          <w:szCs w:val="24"/>
        </w:rPr>
      </w:pP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rStyle w:val="35"/>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tabs>
          <w:tab w:val="left" w:pos="-5670"/>
        </w:tabs>
        <w:ind w:left="567" w:right="-1" w:firstLine="0"/>
        <w:jc w:val="both"/>
        <w:rPr>
          <w:rStyle w:val="35"/>
          <w:bCs/>
          <w:iCs/>
          <w:sz w:val="24"/>
          <w:szCs w:val="24"/>
        </w:rPr>
      </w:pP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Resumo </w:t>
      </w:r>
      <w:r>
        <w:rPr>
          <w:rFonts w:hint="default"/>
          <w:bCs/>
          <w:iCs/>
          <w:sz w:val="24"/>
          <w:szCs w:val="24"/>
          <w:lang w:val="pt-BR"/>
        </w:rPr>
        <w:t>Geral da</w:t>
      </w:r>
      <w:r>
        <w:rPr>
          <w:bCs/>
          <w:iCs/>
          <w:sz w:val="24"/>
          <w:szCs w:val="24"/>
          <w:lang w:val="pt-BR"/>
        </w:rPr>
        <w:t xml:space="preserve"> </w:t>
      </w:r>
      <w:r>
        <w:rPr>
          <w:rFonts w:hint="default"/>
          <w:bCs/>
          <w:iCs/>
          <w:sz w:val="24"/>
          <w:szCs w:val="24"/>
          <w:lang w:val="pt-BR"/>
        </w:rPr>
        <w:t>Obra</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 xml:space="preserve"> </w:t>
      </w:r>
      <w:r>
        <w:rPr>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Dimensionamento do Pavimento;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w:t>
      </w:r>
      <w:r>
        <w:rPr>
          <w:rFonts w:hint="default"/>
          <w:bCs/>
          <w:iCs/>
          <w:sz w:val="24"/>
          <w:szCs w:val="24"/>
          <w:lang w:val="pt-BR"/>
        </w:rPr>
        <w:t>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Memória de Cálculo - Drenagem;</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de Projeto, Orçamento e Fiscalização nº 1320220015287;</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w:t>
      </w:r>
    </w:p>
    <w:p>
      <w:pPr>
        <w:ind w:right="-1" w:firstLine="0"/>
        <w:jc w:val="both"/>
        <w:rPr>
          <w:sz w:val="24"/>
          <w:szCs w:val="24"/>
        </w:rPr>
      </w:pPr>
    </w:p>
    <w:p>
      <w:pPr>
        <w:ind w:right="-1" w:firstLine="0"/>
        <w:jc w:val="both"/>
        <w:rPr>
          <w:sz w:val="24"/>
          <w:szCs w:val="24"/>
        </w:rPr>
      </w:pPr>
    </w:p>
    <w:p>
      <w:pPr>
        <w:ind w:right="-1" w:firstLine="0"/>
        <w:jc w:val="both"/>
        <w:rPr>
          <w:sz w:val="24"/>
          <w:szCs w:val="24"/>
        </w:rPr>
      </w:pPr>
      <w:r>
        <w:rPr>
          <w:sz w:val="24"/>
          <w:szCs w:val="24"/>
        </w:rPr>
        <w:t xml:space="preserve">Eu, Jaqueline Maria Garcia Mascioli, Servidora Pública Municipal, digitei-o presente edital com autorização do ordenador de despesas, e eu, </w:t>
      </w:r>
      <w:r>
        <w:rPr>
          <w:rFonts w:hint="default"/>
          <w:sz w:val="24"/>
          <w:szCs w:val="24"/>
          <w:lang w:val="pt-BR"/>
        </w:rPr>
        <w:t>Adriano Hilário Talarico Soletti</w:t>
      </w:r>
      <w:r>
        <w:rPr>
          <w:sz w:val="24"/>
          <w:szCs w:val="24"/>
        </w:rPr>
        <w:t>, Gerente d</w:t>
      </w:r>
      <w:r>
        <w:rPr>
          <w:rFonts w:hint="default"/>
          <w:sz w:val="24"/>
          <w:szCs w:val="24"/>
          <w:lang w:val="pt-BR"/>
        </w:rPr>
        <w:t>o Núcleo de Licitações e Contratos</w:t>
      </w:r>
      <w:r>
        <w:rPr>
          <w:sz w:val="24"/>
          <w:szCs w:val="24"/>
        </w:rPr>
        <w:t xml:space="preserve"> conforme </w:t>
      </w:r>
      <w:r>
        <w:rPr>
          <w:rFonts w:hint="default"/>
          <w:sz w:val="24"/>
          <w:szCs w:val="24"/>
          <w:lang w:val="pt-BR"/>
        </w:rPr>
        <w:t>Portaria</w:t>
      </w:r>
      <w:r>
        <w:rPr>
          <w:sz w:val="24"/>
          <w:szCs w:val="24"/>
        </w:rPr>
        <w:t xml:space="preserve"> nº. 0</w:t>
      </w:r>
      <w:r>
        <w:rPr>
          <w:rFonts w:hint="default"/>
          <w:sz w:val="24"/>
          <w:szCs w:val="24"/>
          <w:lang w:val="pt-BR"/>
        </w:rPr>
        <w:t>34</w:t>
      </w:r>
      <w:r>
        <w:rPr>
          <w:sz w:val="24"/>
          <w:szCs w:val="24"/>
        </w:rPr>
        <w:t>/202</w:t>
      </w:r>
      <w:r>
        <w:rPr>
          <w:rFonts w:hint="default"/>
          <w:sz w:val="24"/>
          <w:szCs w:val="24"/>
          <w:lang w:val="pt-BR"/>
        </w:rPr>
        <w:t>1</w:t>
      </w:r>
      <w:r>
        <w:rPr>
          <w:sz w:val="24"/>
          <w:szCs w:val="24"/>
        </w:rPr>
        <w:t>,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25</w:t>
      </w:r>
      <w:r>
        <w:rPr>
          <w:rFonts w:eastAsia="Times New Roman"/>
          <w:iCs/>
          <w:sz w:val="22"/>
          <w:lang w:eastAsia="pt-BR"/>
        </w:rPr>
        <w:t xml:space="preserve"> de </w:t>
      </w:r>
      <w:r>
        <w:rPr>
          <w:rFonts w:hint="default" w:eastAsia="Times New Roman"/>
          <w:iCs/>
          <w:sz w:val="22"/>
          <w:lang w:val="en-US" w:eastAsia="pt-BR"/>
        </w:rPr>
        <w:t>maio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hint="default"/>
          <w:b/>
          <w:bCs/>
          <w:sz w:val="24"/>
          <w:szCs w:val="24"/>
          <w:lang w:val="pt-BR"/>
        </w:rPr>
        <w:t>Adriano Hilário Talarico Soletti</w:t>
      </w:r>
    </w:p>
    <w:p>
      <w:pPr>
        <w:tabs>
          <w:tab w:val="left" w:pos="-1800"/>
        </w:tabs>
        <w:overflowPunct/>
        <w:spacing w:before="0" w:after="0" w:line="240" w:lineRule="auto"/>
        <w:jc w:val="center"/>
        <w:textAlignment w:val="baseline"/>
        <w:rPr>
          <w:rFonts w:hint="default"/>
          <w:sz w:val="24"/>
          <w:szCs w:val="24"/>
          <w:lang w:val="pt-BR"/>
        </w:rPr>
      </w:pPr>
      <w:r>
        <w:rPr>
          <w:sz w:val="24"/>
          <w:szCs w:val="24"/>
        </w:rPr>
        <w:t>Gerente d</w:t>
      </w:r>
      <w:r>
        <w:rPr>
          <w:rFonts w:hint="default"/>
          <w:sz w:val="24"/>
          <w:szCs w:val="24"/>
          <w:lang w:val="pt-BR"/>
        </w:rPr>
        <w:t>o Núcleo de Licitações e Contratos</w:t>
      </w:r>
    </w:p>
    <w:p>
      <w:pPr>
        <w:tabs>
          <w:tab w:val="left" w:pos="-1800"/>
        </w:tabs>
        <w:overflowPunct/>
        <w:spacing w:before="0" w:after="0" w:line="240" w:lineRule="auto"/>
        <w:jc w:val="center"/>
        <w:textAlignment w:val="baseline"/>
        <w:rPr>
          <w:rFonts w:hint="default" w:eastAsia="Times New Roman"/>
          <w:sz w:val="21"/>
          <w:szCs w:val="21"/>
          <w:lang w:val="en-US" w:eastAsia="pt-BR"/>
        </w:rPr>
      </w:pPr>
      <w:r>
        <w:rPr>
          <w:rFonts w:eastAsia="Times New Roman"/>
          <w:bCs/>
          <w:color w:val="000000"/>
          <w:sz w:val="22"/>
          <w:lang w:eastAsia="pt-BR"/>
        </w:rPr>
        <w:t>Conforme Decreto nº 0</w:t>
      </w:r>
      <w:r>
        <w:rPr>
          <w:rFonts w:hint="default" w:eastAsia="Times New Roman"/>
          <w:bCs/>
          <w:color w:val="000000"/>
          <w:sz w:val="22"/>
          <w:lang w:val="en-US" w:eastAsia="pt-BR"/>
        </w:rPr>
        <w:t>34</w:t>
      </w:r>
      <w:r>
        <w:rPr>
          <w:rFonts w:eastAsia="Times New Roman"/>
          <w:bCs/>
          <w:color w:val="000000"/>
          <w:sz w:val="22"/>
          <w:lang w:eastAsia="pt-BR"/>
        </w:rPr>
        <w:t>/202</w:t>
      </w:r>
      <w:r>
        <w:rPr>
          <w:rFonts w:hint="default" w:eastAsia="Times New Roman"/>
          <w:bCs/>
          <w:color w:val="000000"/>
          <w:sz w:val="22"/>
          <w:lang w:val="en-US" w:eastAsia="pt-BR"/>
        </w:rPr>
        <w:t>1</w:t>
      </w:r>
    </w:p>
    <w:p>
      <w:pPr>
        <w:rPr>
          <w:rFonts w:eastAsia="Times New Roman"/>
          <w:b/>
          <w:iCs/>
          <w:sz w:val="21"/>
          <w:szCs w:val="21"/>
          <w:lang w:eastAsia="pt-BR"/>
        </w:rPr>
      </w:pPr>
      <w:r>
        <w:br w:type="page"/>
      </w: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w:t>
      </w:r>
      <w:r>
        <w:rPr>
          <w:rFonts w:hint="default"/>
          <w:iCs/>
          <w:sz w:val="24"/>
          <w:szCs w:val="24"/>
          <w:lang w:val="pt-BR"/>
        </w:rPr>
        <w:t>Avenida Weimar Gonçalves Torres, nº 862</w:t>
      </w:r>
      <w:r>
        <w:rPr>
          <w:iCs/>
          <w:sz w:val="24"/>
          <w:szCs w:val="24"/>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rFonts w:hint="default"/>
          <w:b/>
          <w:bCs/>
          <w:sz w:val="24"/>
          <w:szCs w:val="24"/>
          <w:u w:val="single"/>
        </w:rPr>
        <w:t>Jorge Luis de Lúcia</w:t>
      </w:r>
      <w:r>
        <w:rPr>
          <w:rFonts w:hint="default"/>
          <w:sz w:val="24"/>
          <w:szCs w:val="24"/>
        </w:rPr>
        <w:t>, Gerente de Obras e Ordenador de Despesas conforme Decreto nº. 011/2021, brasileiro, portador do CPF/MF nº. 079.589.258-67 e Cédula de Identidade RG nº. 9.057.438 SSP/SP, residente nesta cidade, à Avenida Amélia Fukuda,  nº 1216 – Jardim Oasis</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040/2022</w:t>
      </w:r>
      <w:r>
        <w:rPr>
          <w:sz w:val="24"/>
          <w:szCs w:val="24"/>
        </w:rPr>
        <w:t xml:space="preserve">, gerado pela </w:t>
      </w:r>
      <w:r>
        <w:rPr>
          <w:b/>
          <w:sz w:val="24"/>
          <w:szCs w:val="24"/>
        </w:rPr>
        <w:t xml:space="preserve">Tomada de Preços nº. </w:t>
      </w:r>
      <w:r>
        <w:rPr>
          <w:b/>
          <w:sz w:val="24"/>
          <w:szCs w:val="24"/>
          <w:lang w:val="pt-BR"/>
        </w:rPr>
        <w:t>003/2022</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w:t>
      </w:r>
      <w:r>
        <w:rPr>
          <w:rFonts w:hint="default"/>
          <w:sz w:val="24"/>
          <w:szCs w:val="24"/>
          <w:lang w:val="pt-BR"/>
        </w:rPr>
        <w:t xml:space="preserve">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040/2022</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003/2022</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tabs>
          <w:tab w:val="left" w:pos="2346"/>
        </w:tabs>
        <w:overflowPunct/>
        <w:spacing w:before="0" w:after="0" w:line="240" w:lineRule="auto"/>
        <w:ind w:left="709" w:right="-1" w:hanging="709"/>
        <w:jc w:val="both"/>
        <w:textAlignment w:val="baseline"/>
        <w:rPr>
          <w:iCs/>
          <w:sz w:val="24"/>
          <w:szCs w:val="24"/>
          <w:lang w:eastAsia="pt-BR"/>
        </w:rPr>
      </w:pPr>
      <w:r>
        <w:rPr>
          <w:iCs/>
          <w:sz w:val="24"/>
          <w:szCs w:val="24"/>
        </w:rPr>
        <w:t xml:space="preserve">7.1 </w:t>
      </w:r>
      <w:r>
        <w:rPr>
          <w:rFonts w:hint="default"/>
          <w:iCs/>
          <w:sz w:val="24"/>
          <w:szCs w:val="24"/>
          <w:lang w:val="pt-BR"/>
        </w:rPr>
        <w:t xml:space="preserve">      </w:t>
      </w:r>
      <w:r>
        <w:rPr>
          <w:iCs/>
          <w:sz w:val="24"/>
          <w:szCs w:val="24"/>
          <w:lang w:eastAsia="pt-BR"/>
        </w:rPr>
        <w:t>Os recursos financeiros para o cumprimento das obrigações constantes neste edital serão oriundos do</w:t>
      </w:r>
      <w:r>
        <w:rPr>
          <w:rFonts w:hint="default"/>
          <w:iCs/>
          <w:sz w:val="24"/>
          <w:szCs w:val="24"/>
          <w:lang w:val="en-US" w:eastAsia="pt-BR"/>
        </w:rPr>
        <w:t xml:space="preserve"> </w:t>
      </w:r>
      <w:r>
        <w:rPr>
          <w:iCs/>
          <w:sz w:val="24"/>
          <w:szCs w:val="24"/>
          <w:lang w:eastAsia="pt-BR"/>
        </w:rPr>
        <w:t xml:space="preserve">saldo </w:t>
      </w:r>
      <w:r>
        <w:rPr>
          <w:iCs/>
          <w:sz w:val="24"/>
          <w:szCs w:val="24"/>
          <w:lang w:val="en-US" w:eastAsia="pt-BR"/>
        </w:rPr>
        <w:t>de Recursos Próprios d</w:t>
      </w:r>
      <w:r>
        <w:rPr>
          <w:rFonts w:hint="default"/>
          <w:iCs/>
          <w:sz w:val="24"/>
          <w:szCs w:val="24"/>
          <w:lang w:val="en-US" w:eastAsia="pt-BR"/>
        </w:rPr>
        <w:t>a Gerência de Esporte e Lazer</w:t>
      </w:r>
      <w:r>
        <w:rPr>
          <w:iCs/>
          <w:sz w:val="24"/>
          <w:szCs w:val="24"/>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613" w:leftChars="0" w:right="-1" w:firstLine="80" w:firstLineChars="0"/>
        <w:jc w:val="both"/>
        <w:textAlignment w:val="baseline"/>
        <w:rPr>
          <w:rFonts w:eastAsia="Times New Roman"/>
          <w:b/>
          <w:iCs/>
          <w:sz w:val="24"/>
          <w:szCs w:val="24"/>
          <w:lang w:val="en-US" w:eastAsia="pt-BR"/>
        </w:rPr>
      </w:pPr>
      <w:r>
        <w:rPr>
          <w:rFonts w:hint="default" w:eastAsia="Times New Roman"/>
          <w:b/>
          <w:iCs/>
          <w:sz w:val="24"/>
          <w:szCs w:val="24"/>
          <w:lang w:val="en-US" w:eastAsia="pt-BR"/>
        </w:rPr>
        <w:t>GERÊNCIA DE OBRAS – DOTAÇÕES ORÇAMENTÁRIAS: 01.04.15.451.0401.1.005-44.920.51.00.00.00 (R 11680) e 01.04.15.451.0401.1.005-44.90.51.00.00.00 (R 4367).</w:t>
      </w:r>
    </w:p>
    <w:p>
      <w:pPr>
        <w:keepNext/>
        <w:keepLines/>
        <w:widowControl w:val="0"/>
        <w:spacing w:before="20" w:after="200"/>
        <w:jc w:val="both"/>
        <w:rPr>
          <w:b/>
          <w:iCs/>
          <w:sz w:val="24"/>
          <w:szCs w:val="24"/>
        </w:rPr>
      </w:pP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150</w:t>
      </w:r>
      <w:r>
        <w:rPr>
          <w:b/>
          <w:sz w:val="24"/>
          <w:szCs w:val="24"/>
        </w:rPr>
        <w:t xml:space="preserve"> (</w:t>
      </w:r>
      <w:r>
        <w:rPr>
          <w:rFonts w:hint="default"/>
          <w:b/>
          <w:sz w:val="24"/>
          <w:szCs w:val="24"/>
          <w:lang w:val="pt-BR"/>
        </w:rPr>
        <w:t>cento e cinquenta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rFonts w:hint="default"/>
          <w:b/>
          <w:bCs/>
          <w:iCs/>
          <w:sz w:val="24"/>
          <w:szCs w:val="24"/>
          <w:lang w:val="pt-BR"/>
        </w:rPr>
        <w:t>210</w:t>
      </w:r>
      <w:r>
        <w:rPr>
          <w:b/>
          <w:sz w:val="24"/>
          <w:szCs w:val="24"/>
        </w:rPr>
        <w:t xml:space="preserve"> (</w:t>
      </w:r>
      <w:r>
        <w:rPr>
          <w:rFonts w:hint="default"/>
          <w:b/>
          <w:sz w:val="24"/>
          <w:szCs w:val="24"/>
          <w:lang w:val="pt-BR"/>
        </w:rPr>
        <w:t>duzentos e dez</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39"/>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0"/>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0"/>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1"/>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4"/>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4"/>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2"/>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7"/>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8"/>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8"/>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49"/>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JORGE LUIS DE LUCIA</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rFonts w:eastAsia="Times New Roman"/>
                <w:b/>
                <w:iCs/>
                <w:sz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040/2022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003/2022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p>
    <w:p>
      <w:pPr>
        <w:spacing w:before="0" w:after="0"/>
        <w:jc w:val="both"/>
        <w:rPr>
          <w:iCs/>
          <w:sz w:val="24"/>
          <w:szCs w:val="24"/>
        </w:rPr>
      </w:pPr>
      <w:r>
        <w:rPr>
          <w:rFonts w:hint="default"/>
          <w:b/>
          <w:bCs/>
          <w:iCs/>
          <w:sz w:val="22"/>
          <w:szCs w:val="22"/>
          <w:u w:val="single"/>
        </w:rPr>
        <w:t>Jorge Luis de Lúcia</w:t>
      </w:r>
      <w:r>
        <w:rPr>
          <w:rFonts w:hint="default"/>
          <w:iCs/>
          <w:sz w:val="22"/>
          <w:szCs w:val="22"/>
        </w:rPr>
        <w:t>, Gerente de Obras e Ordenador de Despesas conforme Decreto nº. 011/2021, brasileiro, portador do CPF/MF nº. 079.589.258-67 e Cédula de Identidade RG nº. 9.057.438 SSP/SP, residente nesta cidade, à Avenida Amélia Fukuda,  nº 1216 – Jardim Oasis;</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JORGE LUIS DE LUCIA</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040/2022</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003/2022</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w:t>
      </w:r>
      <w:r>
        <w:rPr>
          <w:rFonts w:hint="default"/>
          <w:iCs/>
          <w:sz w:val="24"/>
          <w:szCs w:val="24"/>
          <w:lang w:val="pt-BR"/>
        </w:rPr>
        <w:t>Avenida Weimar Gonçalves Torres, nº 862</w:t>
      </w:r>
      <w:r>
        <w:rPr>
          <w:iCs/>
          <w:sz w:val="24"/>
          <w:szCs w:val="24"/>
        </w:rPr>
        <w:t xml:space="preserve">,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517"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003/2022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003/2022</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pregaonavirai@gmail.com</w:t>
    </w:r>
  </w:p>
  <w:p>
    <w:pPr>
      <w:pStyle w:val="26"/>
      <w:jc w:val="center"/>
    </w:pPr>
  </w:p>
  <w:p>
    <w:pPr>
      <w:pStyle w:val="26"/>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6"/>
      <w:jc w:val="center"/>
    </w:pPr>
  </w:p>
  <w:p>
    <w:pPr>
      <w:pStyle w:val="26"/>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6"/>
      <w:jc w:val="center"/>
    </w:pPr>
  </w:p>
  <w:p>
    <w:pPr>
      <w:pStyle w:val="26"/>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129665" cy="862965"/>
          <wp:effectExtent l="0" t="0" r="13335" b="13335"/>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129665" cy="862965"/>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0"/>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1"/>
    <w:lvlOverride w:ilvl="0">
      <w:startOverride w:val="1"/>
    </w:lvlOverride>
  </w:num>
  <w:num w:numId="20">
    <w:abstractNumId w:val="41"/>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39"/>
  </w:num>
  <w:num w:numId="36">
    <w:abstractNumId w:val="32"/>
  </w:num>
  <w:num w:numId="37">
    <w:abstractNumId w:val="27"/>
  </w:num>
  <w:num w:numId="38">
    <w:abstractNumId w:val="18"/>
  </w:num>
  <w:num w:numId="39">
    <w:abstractNumId w:val="19"/>
  </w:num>
  <w:num w:numId="40">
    <w:abstractNumId w:val="12"/>
  </w:num>
  <w:num w:numId="41">
    <w:abstractNumId w:val="28"/>
  </w:num>
  <w:num w:numId="42">
    <w:abstractNumId w:val="22"/>
  </w:num>
  <w:num w:numId="43">
    <w:abstractNumId w:val="15"/>
  </w:num>
  <w:num w:numId="44">
    <w:abstractNumId w:val="23"/>
  </w:num>
  <w:num w:numId="45">
    <w:abstractNumId w:val="7"/>
  </w:num>
  <w:num w:numId="46">
    <w:abstractNumId w:val="30"/>
  </w:num>
  <w:num w:numId="47">
    <w:abstractNumId w:val="20"/>
  </w:num>
  <w:num w:numId="48">
    <w:abstractNumId w:val="2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AB921CB"/>
    <w:rsid w:val="1B6B7765"/>
    <w:rsid w:val="2AF20687"/>
    <w:rsid w:val="33186FCD"/>
    <w:rsid w:val="34E32128"/>
    <w:rsid w:val="379003C7"/>
    <w:rsid w:val="4F9A39B8"/>
    <w:rsid w:val="519F13EF"/>
    <w:rsid w:val="663B7483"/>
    <w:rsid w:val="7DFC3B6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7</TotalTime>
  <ScaleCrop>false</ScaleCrop>
  <LinksUpToDate>false</LinksUpToDate>
  <CharactersWithSpaces>75189</CharactersWithSpaces>
  <Application>WPS Office_11.2.0.11130_F1E327BC-269C-435d-A152-05C5408002CA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2022-05-27T12:15:32Z</cp:lastPrinted>
  <dcterms:modified xsi:type="dcterms:W3CDTF">2022-05-27T12:17:44Z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5FD9316B4D4F4344B5018D4DF6C174EF</vt:lpwstr>
  </property>
  <property fmtid="{D5CDD505-2E9C-101B-9397-08002B2CF9AE}" pid="3" name="KSOProductBuildVer">
    <vt:lpwstr>1046-11.2.0.11130</vt:lpwstr>
  </property>
</Properties>
</file>