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04</w:t>
      </w:r>
      <w:r>
        <w:rPr>
          <w:rFonts w:eastAsia="Times New Roman"/>
          <w:iCs/>
          <w:sz w:val="24"/>
          <w:szCs w:val="24"/>
          <w:lang w:eastAsia="pt-BR"/>
        </w:rPr>
        <w:t xml:space="preserve"> de </w:t>
      </w:r>
      <w:r>
        <w:rPr>
          <w:rFonts w:hint="default" w:eastAsia="Times New Roman"/>
          <w:iCs/>
          <w:sz w:val="24"/>
          <w:szCs w:val="24"/>
          <w:lang w:val="en-US" w:eastAsia="pt-BR"/>
        </w:rPr>
        <w:t>abril</w:t>
      </w:r>
      <w:r>
        <w:rPr>
          <w:rFonts w:eastAsia="Times New Roman"/>
          <w:iCs/>
          <w:sz w:val="24"/>
          <w:szCs w:val="24"/>
          <w:lang w:eastAsia="pt-BR"/>
        </w:rPr>
        <w:t xml:space="preserve"> de 202</w:t>
      </w:r>
      <w:r>
        <w:rPr>
          <w:rFonts w:hint="default" w:eastAsia="Times New Roman"/>
          <w:iCs/>
          <w:sz w:val="24"/>
          <w:szCs w:val="24"/>
          <w:lang w:val="en-US" w:eastAsia="pt-BR"/>
        </w:rPr>
        <w:t>2</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045/2022</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001/2022</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hint="default"/>
          <w:sz w:val="22"/>
          <w:lang w:val="pt-BR"/>
        </w:rPr>
        <w:t xml:space="preserve"> e suas alterações pela Portaria 051 de 24 de janeiro de 2022</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highlight w:val="none"/>
          <w:lang w:val="en-US" w:eastAsia="pt-BR"/>
        </w:rPr>
        <w:t>11 de maio de 2022</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08h00min</w:t>
      </w:r>
      <w:r>
        <w:rPr>
          <w:rFonts w:eastAsia="Times New Roman"/>
          <w:b/>
          <w:bCs/>
          <w:color w:val="000000"/>
          <w:sz w:val="24"/>
          <w:szCs w:val="24"/>
          <w:highlight w:val="none"/>
          <w:lang w:eastAsia="pt-BR"/>
        </w:rPr>
        <w:t>.</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Pr>
          <w:rFonts w:eastAsia="Times New Roman"/>
          <w:iCs/>
          <w:sz w:val="24"/>
          <w:szCs w:val="24"/>
          <w:lang w:eastAsia="pt-BR"/>
        </w:rPr>
        <w:t xml:space="preserve">Objeto da presente licitação é a </w:t>
      </w:r>
      <w:r>
        <w:rPr>
          <w:rFonts w:hint="default" w:eastAsia="Times New Roman"/>
          <w:b/>
          <w:bCs/>
          <w:iCs/>
          <w:sz w:val="24"/>
          <w:szCs w:val="24"/>
          <w:lang w:eastAsia="pt-BR"/>
        </w:rPr>
        <w:t>CONTRATAÇÃO DE EMPRESA ESPECIALIZADA EM SERVIÇOS DE ENGENHARIA PARA EXECUÇÃO DA CONCLUSÃO DA OBRA DE CONSTRUÇÃO DA CRECHE DO IPÊ, SITUADA NA RUA PIÚNA - JARDIM IPÊ, MUNICÍPIO DE NAVIRAÍ/MS. SOLICITAÇÃO GERÊNCIA DE OBRAS. PEDIDO DE SERVIÇO N°67/2022.</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001/2022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11/05/2022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08h00min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001/2022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11/05/2022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08h00min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Calçadas em concreto;</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Alvenaria;</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6.1.2.1.3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6.1.2.1.4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6.1.2.1.5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316.178,53</w:t>
      </w:r>
      <w:r>
        <w:rPr>
          <w:rFonts w:eastAsia="Times New Roman"/>
          <w:b/>
          <w:bCs/>
          <w:iCs/>
          <w:sz w:val="24"/>
          <w:szCs w:val="24"/>
          <w:lang w:eastAsia="pt-BR"/>
        </w:rPr>
        <w:t xml:space="preserve"> (</w:t>
      </w:r>
      <w:r>
        <w:rPr>
          <w:rFonts w:hint="default" w:eastAsia="Times New Roman"/>
          <w:b/>
          <w:bCs/>
          <w:iCs/>
          <w:sz w:val="24"/>
          <w:szCs w:val="24"/>
          <w:lang w:val="en-US" w:eastAsia="pt-BR"/>
        </w:rPr>
        <w:t>trezentos e dezesseis mil cento e setenta e oito reais e cinquenta e três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DIAS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permanencia no local </w:t>
      </w:r>
      <w:r>
        <w:rPr>
          <w:rFonts w:eastAsia="Times New Roman"/>
          <w:sz w:val="24"/>
          <w:szCs w:val="24"/>
          <w:lang w:eastAsia="pt-BR"/>
        </w:rPr>
        <w:t>o Diário de Obra, onde deverá conter todas as informações relativas dos serviços executados. Os aditivos ou supressões de prazo ou valor</w:t>
      </w:r>
      <w:r>
        <w:rPr>
          <w:rFonts w:hint="default" w:eastAsia="Times New Roman"/>
          <w:sz w:val="24"/>
          <w:szCs w:val="24"/>
          <w:lang w:val="en-US" w:eastAsia="pt-BR"/>
        </w:rPr>
        <w:t>es</w:t>
      </w:r>
      <w:r>
        <w:rPr>
          <w:rFonts w:eastAsia="Times New Roman"/>
          <w:sz w:val="24"/>
          <w:szCs w:val="24"/>
          <w:lang w:eastAsia="pt-BR"/>
        </w:rPr>
        <w:t xml:space="preserve"> só serão aceitos com base nas informações anotadas</w:t>
      </w:r>
      <w:r>
        <w:rPr>
          <w:rFonts w:hint="default" w:eastAsia="Times New Roman"/>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estarpá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709" w:right="-1" w:hanging="709"/>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9180" w:type="dxa"/>
            <w:shd w:val="clear" w:color="auto" w:fill="auto"/>
          </w:tcPr>
          <w:p>
            <w:pPr>
              <w:overflowPunct w:val="0"/>
              <w:autoSpaceDE w:val="0"/>
              <w:autoSpaceDN w:val="0"/>
              <w:adjustRightInd w:val="0"/>
              <w:spacing w:after="0" w:line="240" w:lineRule="auto"/>
              <w:ind w:right="-1"/>
              <w:jc w:val="both"/>
              <w:textAlignment w:val="baseline"/>
              <w:rPr>
                <w:rFonts w:hint="default"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EDUCAÇÃO E CULTURA - DOTAÇÃO ORÇAMENTÁRIA: 01.05.12.361.0502.1.011-44.90.51.00.00.00 ( R 4388).</w:t>
            </w:r>
          </w:p>
          <w:p>
            <w:pPr>
              <w:overflowPunct w:val="0"/>
              <w:autoSpaceDE w:val="0"/>
              <w:autoSpaceDN w:val="0"/>
              <w:adjustRightInd w:val="0"/>
              <w:spacing w:after="0" w:line="240" w:lineRule="auto"/>
              <w:ind w:right="-1"/>
              <w:jc w:val="both"/>
              <w:textAlignment w:val="baseline"/>
              <w:rPr>
                <w:rFonts w:hint="default" w:eastAsia="Times New Roman"/>
                <w:b/>
                <w:iCs/>
                <w:sz w:val="22"/>
                <w:lang w:val="en-US" w:eastAsia="pt-BR"/>
              </w:rPr>
            </w:pPr>
          </w:p>
          <w:tbl>
            <w:tblPr>
              <w:tblStyle w:val="12"/>
              <w:tblW w:w="9267" w:type="dxa"/>
              <w:tblInd w:w="-5" w:type="dxa"/>
              <w:tblLayout w:type="autofit"/>
              <w:tblCellMar>
                <w:top w:w="0" w:type="dxa"/>
                <w:left w:w="70" w:type="dxa"/>
                <w:bottom w:w="0" w:type="dxa"/>
                <w:right w:w="70" w:type="dxa"/>
              </w:tblCellMar>
            </w:tblPr>
            <w:tblGrid>
              <w:gridCol w:w="1435"/>
              <w:gridCol w:w="805"/>
              <w:gridCol w:w="805"/>
              <w:gridCol w:w="964"/>
              <w:gridCol w:w="805"/>
              <w:gridCol w:w="1634"/>
              <w:gridCol w:w="1430"/>
              <w:gridCol w:w="1389"/>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0105</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12</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361</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502</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11</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449051000000</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4388</w:t>
                  </w:r>
                </w:p>
              </w:tc>
            </w:tr>
          </w:tbl>
          <w:p>
            <w:pPr>
              <w:overflowPunct w:val="0"/>
              <w:autoSpaceDE w:val="0"/>
              <w:autoSpaceDN w:val="0"/>
              <w:adjustRightInd w:val="0"/>
              <w:spacing w:after="0" w:line="240" w:lineRule="auto"/>
              <w:ind w:right="-1"/>
              <w:jc w:val="both"/>
              <w:textAlignment w:val="baseline"/>
              <w:rPr>
                <w:rFonts w:hint="default" w:eastAsia="Times New Roman"/>
                <w:b/>
                <w:iCs/>
                <w:sz w:val="22"/>
                <w:lang w:val="en-US" w:eastAsia="pt-BR"/>
              </w:rPr>
            </w:pP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p>
      <w:pPr>
        <w:keepNext/>
        <w:keepLines/>
        <w:widowControl w:val="0"/>
        <w:numPr>
          <w:ilvl w:val="0"/>
          <w:numId w:val="18"/>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14.3</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14.4</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 incidentes ou que venham a incidir sobre a obra, objeto da presente licitação;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Composição do BDI;</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Memória de Cálculo</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lang w:val="pt-BR"/>
        </w:rPr>
        <w:t>;</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Relatório Fotográfico de como se encontra a obra no memento;</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w:t>
      </w:r>
      <w:r>
        <w:rPr>
          <w:bCs/>
          <w:iCs/>
          <w:sz w:val="24"/>
          <w:szCs w:val="24"/>
          <w:lang w:val="pt-BR"/>
        </w:rPr>
        <w:t xml:space="preserve">T nº </w:t>
      </w:r>
      <w:r>
        <w:rPr>
          <w:rFonts w:hint="default"/>
          <w:bCs/>
          <w:iCs/>
          <w:sz w:val="24"/>
          <w:szCs w:val="24"/>
          <w:lang w:val="pt-BR"/>
        </w:rPr>
        <w:t>1320220019736</w:t>
      </w:r>
      <w:r>
        <w:rPr>
          <w:bCs/>
          <w:iCs/>
          <w:sz w:val="24"/>
          <w:szCs w:val="24"/>
          <w:lang w:val="pt-BR"/>
        </w:rPr>
        <w:t>;</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1320220019767;</w:t>
      </w:r>
    </w:p>
    <w:p>
      <w:pPr>
        <w:numPr>
          <w:ilvl w:val="0"/>
          <w:numId w:val="24"/>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Projeto</w:t>
      </w:r>
      <w:r>
        <w:rPr>
          <w:rFonts w:hint="default"/>
          <w:bCs/>
          <w:iCs/>
          <w:sz w:val="24"/>
          <w:szCs w:val="24"/>
          <w:lang w:val="pt-BR"/>
        </w:rPr>
        <w:t xml:space="preserve"> Arquitetônico</w:t>
      </w:r>
      <w:r>
        <w:rPr>
          <w:bCs/>
          <w:iCs/>
          <w:sz w:val="24"/>
          <w:szCs w:val="24"/>
          <w:lang w:val="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Viviane Ribeiro Bogarim Capilé</w:t>
      </w:r>
      <w:r>
        <w:rPr>
          <w:rFonts w:eastAsia="Times New Roman"/>
          <w:color w:val="000000"/>
          <w:sz w:val="24"/>
          <w:szCs w:val="24"/>
          <w:lang w:eastAsia="pt-BR"/>
        </w:rPr>
        <w:t>, Gerente de Finanças conforme Decreto nº. 0</w:t>
      </w:r>
      <w:r>
        <w:rPr>
          <w:rFonts w:hint="default" w:eastAsia="Times New Roman"/>
          <w:color w:val="000000"/>
          <w:sz w:val="24"/>
          <w:szCs w:val="24"/>
          <w:lang w:val="en-US" w:eastAsia="pt-BR"/>
        </w:rPr>
        <w:t>35</w:t>
      </w:r>
      <w:r>
        <w:rPr>
          <w:rFonts w:eastAsia="Times New Roman"/>
          <w:color w:val="000000"/>
          <w:sz w:val="24"/>
          <w:szCs w:val="24"/>
          <w:lang w:eastAsia="pt-BR"/>
        </w:rPr>
        <w:t>/20</w:t>
      </w:r>
      <w:r>
        <w:rPr>
          <w:rFonts w:hint="default" w:eastAsia="Times New Roman"/>
          <w:color w:val="000000"/>
          <w:sz w:val="24"/>
          <w:szCs w:val="24"/>
          <w:lang w:val="en-US" w:eastAsia="pt-BR"/>
        </w:rPr>
        <w:t>22</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04</w:t>
      </w:r>
      <w:r>
        <w:rPr>
          <w:rFonts w:eastAsia="Times New Roman"/>
          <w:sz w:val="24"/>
          <w:szCs w:val="24"/>
          <w:lang w:eastAsia="pt-BR"/>
        </w:rPr>
        <w:t xml:space="preserve"> de </w:t>
      </w:r>
      <w:r>
        <w:rPr>
          <w:rFonts w:hint="default" w:eastAsia="Times New Roman"/>
          <w:sz w:val="24"/>
          <w:szCs w:val="24"/>
          <w:lang w:val="en-US" w:eastAsia="pt-BR"/>
        </w:rPr>
        <w:t>abril</w:t>
      </w:r>
      <w:r>
        <w:rPr>
          <w:rFonts w:eastAsia="Times New Roman"/>
          <w:sz w:val="24"/>
          <w:szCs w:val="24"/>
          <w:lang w:eastAsia="pt-BR"/>
        </w:rPr>
        <w:t xml:space="preserve"> de 202</w:t>
      </w:r>
      <w:r>
        <w:rPr>
          <w:rFonts w:hint="default" w:eastAsia="Times New Roman"/>
          <w:sz w:val="24"/>
          <w:szCs w:val="24"/>
          <w:lang w:val="en-US" w:eastAsia="pt-BR"/>
        </w:rPr>
        <w:t>2</w:t>
      </w:r>
      <w:r>
        <w:rPr>
          <w:rFonts w:eastAsia="Times New Roman"/>
          <w:sz w:val="24"/>
          <w:szCs w:val="24"/>
          <w:lang w:eastAsia="pt-BR"/>
        </w:rPr>
        <w:t>.</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bookmarkStart w:id="0" w:name="_GoBack"/>
      <w:bookmarkEnd w:id="0"/>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4"/>
          <w:szCs w:val="24"/>
          <w:lang w:val="en-US" w:eastAsia="pt-BR"/>
        </w:rPr>
      </w:pPr>
      <w:r>
        <w:rPr>
          <w:rFonts w:hint="default" w:eastAsia="Times New Roman"/>
          <w:b/>
          <w:color w:val="000000"/>
          <w:sz w:val="24"/>
          <w:szCs w:val="24"/>
          <w:lang w:val="en-US" w:eastAsia="pt-BR"/>
        </w:rPr>
        <w:t>Viviane Ribeiro Bogarim Capilé</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Gerente de Finanças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35</w:t>
      </w:r>
      <w:r>
        <w:rPr>
          <w:rFonts w:eastAsia="Times New Roman"/>
          <w:color w:val="000000"/>
          <w:sz w:val="24"/>
          <w:szCs w:val="24"/>
          <w:lang w:eastAsia="pt-BR"/>
        </w:rPr>
        <w:t>/20</w:t>
      </w:r>
      <w:r>
        <w:rPr>
          <w:rFonts w:hint="default" w:eastAsia="Times New Roman"/>
          <w:color w:val="000000"/>
          <w:sz w:val="24"/>
          <w:szCs w:val="24"/>
          <w:lang w:val="en-US" w:eastAsia="pt-BR"/>
        </w:rPr>
        <w:t>22</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045/2022</w:t>
      </w:r>
      <w:r>
        <w:rPr>
          <w:rFonts w:eastAsia="Times New Roman"/>
          <w:sz w:val="24"/>
          <w:szCs w:val="24"/>
          <w:lang w:eastAsia="pt-BR"/>
        </w:rPr>
        <w:t xml:space="preserve">, gerado pela </w:t>
      </w:r>
      <w:r>
        <w:rPr>
          <w:rFonts w:eastAsia="Times New Roman"/>
          <w:b/>
          <w:sz w:val="24"/>
          <w:szCs w:val="24"/>
          <w:lang w:eastAsia="pt-BR"/>
        </w:rPr>
        <w:t>CONCORRÊNCIA nº. 001/2022</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eastAsia="Times New Roman"/>
          <w:b/>
          <w:bCs/>
          <w:sz w:val="24"/>
          <w:szCs w:val="24"/>
          <w:lang w:eastAsia="pt-BR"/>
        </w:rPr>
        <w:t>CONTRATAÇÃO DE EMPRESA ESPECIALIZADA EM SERVIÇOS DE ENGENHARIA PARA EXECUÇÃO DA CONCLUSÃO DA OBRA DE CONSTRUÇÃO DA CRECHE DO IPÊ, SITUADA NA RUA PIÚNA - JARDIM IPÊ, MUNICÍPIO DE NAVIRAÍ/MS. SOLICITAÇÃO GERÊNCIA DE OBRAS. PEDIDO DE SERVIÇO N°67/2022</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045/2022</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001/2022</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 xml:space="preserve">5.1 </w:t>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numPr>
          <w:ilvl w:val="0"/>
          <w:numId w:val="0"/>
        </w:numPr>
        <w:overflowPunct w:val="0"/>
        <w:autoSpaceDE w:val="0"/>
        <w:autoSpaceDN w:val="0"/>
        <w:adjustRightInd w:val="0"/>
        <w:spacing w:after="0" w:line="240" w:lineRule="auto"/>
        <w:ind w:left="66" w:leftChars="0"/>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Caso ocorra à variação nos preços, o contratado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2</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tbl>
      <w:tblPr>
        <w:tblStyle w:val="12"/>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tabs>
                <w:tab w:val="left" w:pos="2346"/>
              </w:tabs>
              <w:overflowPunct w:val="0"/>
              <w:autoSpaceDE w:val="0"/>
              <w:autoSpaceDN w:val="0"/>
              <w:adjustRightInd w:val="0"/>
              <w:spacing w:after="0" w:line="240" w:lineRule="auto"/>
              <w:ind w:right="-1"/>
              <w:jc w:val="both"/>
              <w:textAlignment w:val="baseline"/>
              <w:rPr>
                <w:rFonts w:hint="default" w:eastAsia="MS Mincho"/>
                <w:b/>
                <w:bCs/>
                <w:i w:val="0"/>
                <w:iCs w:val="0"/>
                <w:sz w:val="24"/>
                <w:szCs w:val="24"/>
                <w:lang w:val="en-US" w:eastAsia="pt-BR"/>
              </w:rPr>
            </w:pPr>
            <w:r>
              <w:rPr>
                <w:rFonts w:hint="default" w:eastAsia="MS Mincho"/>
                <w:b/>
                <w:bCs/>
                <w:i w:val="0"/>
                <w:iCs w:val="0"/>
                <w:sz w:val="24"/>
                <w:szCs w:val="24"/>
                <w:lang w:val="en-US" w:eastAsia="pt-BR"/>
              </w:rPr>
              <w:t>GERÊNCIA DE EDUCAÇÃO E CULTURA – DOTAÇÃO: 0105.12.361.502.1.11.449051000000 (R: 4388)</w:t>
            </w:r>
          </w:p>
        </w:tc>
      </w:tr>
    </w:tbl>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r>
        <w:rPr>
          <w:rFonts w:eastAsia="Times New Roman"/>
          <w:iCs/>
          <w:sz w:val="24"/>
          <w:szCs w:val="24"/>
          <w:lang w:eastAsia="pt-BR"/>
        </w:rPr>
        <w:tab/>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9"/>
        <w:gridCol w:w="710"/>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Órgão/Unidade</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0105</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2390</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2</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045/2022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001/2022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573" w:bottom="1134" w:left="11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001/2022</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001/2022</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2</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2</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Segoe Print"/>
    <w:panose1 w:val="02020404030301010803"/>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1">
    <w:nsid w:val="0000001F"/>
    <w:multiLevelType w:val="singleLevel"/>
    <w:tmpl w:val="0000001F"/>
    <w:lvl w:ilvl="0" w:tentative="0">
      <w:start w:val="1"/>
      <w:numFmt w:val="lowerLetter"/>
      <w:lvlText w:val="%1)"/>
      <w:lvlJc w:val="left"/>
      <w:pPr>
        <w:tabs>
          <w:tab w:val="left" w:pos="0"/>
        </w:tabs>
        <w:ind w:left="862" w:hanging="36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0E9216EC"/>
    <w:multiLevelType w:val="multilevel"/>
    <w:tmpl w:val="0E9216EC"/>
    <w:lvl w:ilvl="0" w:tentative="0">
      <w:start w:val="5"/>
      <w:numFmt w:val="decimal"/>
      <w:lvlText w:val="%1"/>
      <w:lvlJc w:val="left"/>
      <w:pPr>
        <w:ind w:left="360" w:hanging="360"/>
      </w:pPr>
      <w:rPr>
        <w:rFonts w:hint="default"/>
      </w:rPr>
    </w:lvl>
    <w:lvl w:ilvl="1" w:tentative="0">
      <w:start w:val="2"/>
      <w:numFmt w:val="decimal"/>
      <w:lvlText w:val="%1.%2"/>
      <w:lvlJc w:val="left"/>
      <w:pPr>
        <w:ind w:left="1287" w:hanging="360"/>
      </w:pPr>
      <w:rPr>
        <w:rFonts w:hint="default"/>
      </w:rPr>
    </w:lvl>
    <w:lvl w:ilvl="2" w:tentative="0">
      <w:start w:val="1"/>
      <w:numFmt w:val="decimal"/>
      <w:lvlText w:val="%1.%2.%3"/>
      <w:lvlJc w:val="left"/>
      <w:pPr>
        <w:ind w:left="2574" w:hanging="720"/>
      </w:pPr>
      <w:rPr>
        <w:rFonts w:hint="default"/>
      </w:rPr>
    </w:lvl>
    <w:lvl w:ilvl="3" w:tentative="0">
      <w:start w:val="1"/>
      <w:numFmt w:val="decimal"/>
      <w:lvlText w:val="%1.%2.%3.%4"/>
      <w:lvlJc w:val="left"/>
      <w:pPr>
        <w:ind w:left="3501" w:hanging="720"/>
      </w:pPr>
      <w:rPr>
        <w:rFonts w:hint="default"/>
      </w:rPr>
    </w:lvl>
    <w:lvl w:ilvl="4" w:tentative="0">
      <w:start w:val="1"/>
      <w:numFmt w:val="decimal"/>
      <w:lvlText w:val="%1.%2.%3.%4.%5"/>
      <w:lvlJc w:val="left"/>
      <w:pPr>
        <w:ind w:left="4788" w:hanging="1080"/>
      </w:pPr>
      <w:rPr>
        <w:rFonts w:hint="default"/>
      </w:rPr>
    </w:lvl>
    <w:lvl w:ilvl="5" w:tentative="0">
      <w:start w:val="1"/>
      <w:numFmt w:val="decimal"/>
      <w:lvlText w:val="%1.%2.%3.%4.%5.%6"/>
      <w:lvlJc w:val="left"/>
      <w:pPr>
        <w:ind w:left="5715" w:hanging="1080"/>
      </w:pPr>
      <w:rPr>
        <w:rFonts w:hint="default"/>
      </w:rPr>
    </w:lvl>
    <w:lvl w:ilvl="6" w:tentative="0">
      <w:start w:val="1"/>
      <w:numFmt w:val="decimal"/>
      <w:lvlText w:val="%1.%2.%3.%4.%5.%6.%7"/>
      <w:lvlJc w:val="left"/>
      <w:pPr>
        <w:ind w:left="6642" w:hanging="1080"/>
      </w:pPr>
      <w:rPr>
        <w:rFonts w:hint="default"/>
      </w:rPr>
    </w:lvl>
    <w:lvl w:ilvl="7" w:tentative="0">
      <w:start w:val="1"/>
      <w:numFmt w:val="decimal"/>
      <w:lvlText w:val="%1.%2.%3.%4.%5.%6.%7.%8"/>
      <w:lvlJc w:val="left"/>
      <w:pPr>
        <w:ind w:left="7929" w:hanging="1440"/>
      </w:pPr>
      <w:rPr>
        <w:rFonts w:hint="default"/>
      </w:rPr>
    </w:lvl>
    <w:lvl w:ilvl="8" w:tentative="0">
      <w:start w:val="1"/>
      <w:numFmt w:val="decimal"/>
      <w:lvlText w:val="%1.%2.%3.%4.%5.%6.%7.%8.%9"/>
      <w:lvlJc w:val="left"/>
      <w:pPr>
        <w:ind w:left="8856" w:hanging="1440"/>
      </w:pPr>
      <w:rPr>
        <w:rFonts w:hint="default"/>
      </w:rPr>
    </w:lvl>
  </w:abstractNum>
  <w:abstractNum w:abstractNumId="5">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6">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0">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1">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4">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7">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8">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2">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5">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9DC4FC7"/>
    <w:multiLevelType w:val="singleLevel"/>
    <w:tmpl w:val="79DC4FC7"/>
    <w:lvl w:ilvl="0" w:tentative="0">
      <w:start w:val="14"/>
      <w:numFmt w:val="decimal"/>
      <w:lvlText w:val="%1"/>
      <w:lvlJc w:val="left"/>
    </w:lvl>
  </w:abstractNum>
  <w:abstractNum w:abstractNumId="37">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2"/>
  </w:num>
  <w:num w:numId="3">
    <w:abstractNumId w:val="23"/>
  </w:num>
  <w:num w:numId="4">
    <w:abstractNumId w:val="25"/>
  </w:num>
  <w:num w:numId="5">
    <w:abstractNumId w:val="26"/>
  </w:num>
  <w:num w:numId="6">
    <w:abstractNumId w:val="20"/>
  </w:num>
  <w:num w:numId="7">
    <w:abstractNumId w:val="1"/>
  </w:num>
  <w:num w:numId="8">
    <w:abstractNumId w:val="5"/>
  </w:num>
  <w:num w:numId="9">
    <w:abstractNumId w:val="11"/>
  </w:num>
  <w:num w:numId="10">
    <w:abstractNumId w:val="19"/>
  </w:num>
  <w:num w:numId="11">
    <w:abstractNumId w:val="7"/>
  </w:num>
  <w:num w:numId="12">
    <w:abstractNumId w:val="31"/>
  </w:num>
  <w:num w:numId="13">
    <w:abstractNumId w:val="27"/>
  </w:num>
  <w:num w:numId="14">
    <w:abstractNumId w:val="14"/>
  </w:num>
  <w:num w:numId="15">
    <w:abstractNumId w:val="29"/>
  </w:num>
  <w:num w:numId="16">
    <w:abstractNumId w:val="35"/>
  </w:num>
  <w:num w:numId="17">
    <w:abstractNumId w:val="21"/>
  </w:num>
  <w:num w:numId="18">
    <w:abstractNumId w:val="36"/>
  </w:num>
  <w:num w:numId="19">
    <w:abstractNumId w:val="28"/>
  </w:num>
  <w:num w:numId="20">
    <w:abstractNumId w:val="16"/>
  </w:num>
  <w:num w:numId="21">
    <w:abstractNumId w:val="17"/>
  </w:num>
  <w:num w:numId="22">
    <w:abstractNumId w:val="18"/>
  </w:num>
  <w:num w:numId="23">
    <w:abstractNumId w:val="37"/>
  </w:num>
  <w:num w:numId="24">
    <w:abstractNumId w:val="0"/>
  </w:num>
  <w:num w:numId="25">
    <w:abstractNumId w:val="6"/>
  </w:num>
  <w:num w:numId="26">
    <w:abstractNumId w:val="22"/>
  </w:num>
  <w:num w:numId="27">
    <w:abstractNumId w:val="4"/>
  </w:num>
  <w:num w:numId="28">
    <w:abstractNumId w:val="34"/>
  </w:num>
  <w:num w:numId="29">
    <w:abstractNumId w:val="8"/>
  </w:num>
  <w:num w:numId="30">
    <w:abstractNumId w:val="10"/>
  </w:num>
  <w:num w:numId="31">
    <w:abstractNumId w:val="24"/>
  </w:num>
  <w:num w:numId="32">
    <w:abstractNumId w:val="33"/>
  </w:num>
  <w:num w:numId="33">
    <w:abstractNumId w:val="13"/>
  </w:num>
  <w:num w:numId="34">
    <w:abstractNumId w:val="30"/>
  </w:num>
  <w:num w:numId="35">
    <w:abstractNumId w:val="32"/>
  </w:num>
  <w:num w:numId="36">
    <w:abstractNumId w:val="12"/>
  </w:num>
  <w:num w:numId="37">
    <w:abstractNumId w:val="1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A334940"/>
    <w:rsid w:val="179B2A38"/>
    <w:rsid w:val="1C5C4D49"/>
    <w:rsid w:val="29D9241B"/>
    <w:rsid w:val="2B6302ED"/>
    <w:rsid w:val="38DC4B70"/>
    <w:rsid w:val="4C1B5AE1"/>
    <w:rsid w:val="6C873276"/>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uiPriority w:val="0"/>
    <w:rPr>
      <w:color w:val="0000FF"/>
      <w:u w:val="single"/>
    </w:rPr>
  </w:style>
  <w:style w:type="character" w:styleId="15">
    <w:name w:val="page number"/>
    <w:basedOn w:val="11"/>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uiPriority w:val="0"/>
    <w:rPr>
      <w:rFonts w:ascii="Arial" w:hAnsi="Arial" w:eastAsia="Times New Roman" w:cs="Times New Roman"/>
      <w:b/>
      <w:szCs w:val="20"/>
      <w:lang w:val="zh-CN" w:eastAsia="zh-CN"/>
    </w:rPr>
  </w:style>
  <w:style w:type="character" w:customStyle="1" w:styleId="37">
    <w:name w:val="Título 6 Char"/>
    <w:basedOn w:val="11"/>
    <w:link w:val="7"/>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1</TotalTime>
  <ScaleCrop>false</ScaleCrop>
  <LinksUpToDate>false</LinksUpToDate>
  <CharactersWithSpaces>67633</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2022-03-29T20:36:00Z</cp:lastPrinted>
  <dcterms:modified xsi:type="dcterms:W3CDTF">2022-04-07T12:35:37Z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4A63B9581EE24C9B93724BFA6879558C</vt:lpwstr>
  </property>
</Properties>
</file>