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1"/>
          <w:szCs w:val="21"/>
          <w:u w:val="single"/>
          <w:lang w:eastAsia="pt-BR"/>
        </w:rPr>
      </w:pPr>
    </w:p>
    <w:p>
      <w:pPr>
        <w:overflowPunct/>
        <w:spacing w:before="0"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p>
    <w:p>
      <w:pPr>
        <w:overflowPunct/>
        <w:spacing w:before="0" w:after="0" w:line="240" w:lineRule="auto"/>
        <w:ind w:left="142" w:firstLine="0"/>
        <w:jc w:val="right"/>
        <w:textAlignment w:val="baseline"/>
        <w:rPr>
          <w:rFonts w:eastAsia="Times New Roman"/>
          <w:iCs/>
          <w:sz w:val="21"/>
          <w:szCs w:val="21"/>
          <w:lang w:eastAsia="pt-BR"/>
        </w:rPr>
      </w:pPr>
    </w:p>
    <w:p>
      <w:pPr>
        <w:overflowPunct/>
        <w:spacing w:before="0" w:after="0" w:line="240" w:lineRule="auto"/>
        <w:ind w:left="142" w:firstLine="0"/>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04</w:t>
      </w:r>
      <w:r>
        <w:rPr>
          <w:rFonts w:eastAsia="Times New Roman"/>
          <w:iCs/>
          <w:sz w:val="21"/>
          <w:szCs w:val="21"/>
          <w:lang w:eastAsia="pt-BR"/>
        </w:rPr>
        <w:t xml:space="preserve"> de </w:t>
      </w:r>
      <w:r>
        <w:rPr>
          <w:rFonts w:hint="default" w:eastAsia="Times New Roman"/>
          <w:iCs/>
          <w:sz w:val="21"/>
          <w:szCs w:val="21"/>
          <w:lang w:val="en-US" w:eastAsia="pt-BR"/>
        </w:rPr>
        <w:t>abril</w:t>
      </w:r>
      <w:r>
        <w:rPr>
          <w:rFonts w:eastAsia="Times New Roman"/>
          <w:iCs/>
          <w:sz w:val="21"/>
          <w:szCs w:val="21"/>
          <w:lang w:eastAsia="pt-BR"/>
        </w:rPr>
        <w:t xml:space="preserve"> de 202</w:t>
      </w:r>
      <w:r>
        <w:rPr>
          <w:rFonts w:hint="default" w:eastAsia="Times New Roman"/>
          <w:iCs/>
          <w:sz w:val="21"/>
          <w:szCs w:val="21"/>
          <w:lang w:val="en-US" w:eastAsia="pt-BR"/>
        </w:rPr>
        <w:t>2</w:t>
      </w:r>
      <w:r>
        <w:rPr>
          <w:rFonts w:eastAsia="Times New Roman"/>
          <w:iCs/>
          <w:sz w:val="21"/>
          <w:szCs w:val="21"/>
          <w:lang w:eastAsia="pt-BR"/>
        </w:rPr>
        <w:t>.</w:t>
      </w:r>
    </w:p>
    <w:p>
      <w:pPr>
        <w:ind w:left="142" w:right="-1" w:firstLine="0"/>
        <w:jc w:val="center"/>
        <w:rPr>
          <w:b/>
          <w:iCs/>
          <w:sz w:val="24"/>
          <w:szCs w:val="24"/>
        </w:rPr>
      </w:pPr>
    </w:p>
    <w:p>
      <w:pPr>
        <w:ind w:left="142" w:right="-1" w:firstLine="0"/>
        <w:jc w:val="center"/>
        <w:rPr>
          <w:b/>
          <w:iCs/>
          <w:sz w:val="24"/>
          <w:szCs w:val="24"/>
          <w:lang w:val="pt-BR"/>
        </w:rPr>
      </w:pPr>
      <w:r>
        <w:rPr>
          <w:b/>
          <w:iCs/>
          <w:sz w:val="24"/>
          <w:szCs w:val="24"/>
        </w:rPr>
        <w:t xml:space="preserve">TOMADA DE PREÇO Nº. </w:t>
      </w:r>
      <w:r>
        <w:rPr>
          <w:b/>
          <w:iCs/>
          <w:sz w:val="24"/>
          <w:szCs w:val="24"/>
          <w:lang w:val="pt-BR"/>
        </w:rPr>
        <w:t>003/2022</w:t>
      </w:r>
    </w:p>
    <w:p>
      <w:pPr>
        <w:overflowPunct/>
        <w:spacing w:before="0" w:after="0" w:line="240" w:lineRule="auto"/>
        <w:ind w:left="142" w:right="-1" w:firstLine="0"/>
        <w:jc w:val="center"/>
        <w:textAlignment w:val="baseline"/>
        <w:rPr>
          <w:b/>
          <w:iCs/>
          <w:sz w:val="24"/>
          <w:szCs w:val="24"/>
        </w:rPr>
      </w:pPr>
      <w:r>
        <w:rPr>
          <w:b/>
          <w:iCs/>
          <w:sz w:val="24"/>
          <w:szCs w:val="24"/>
        </w:rPr>
        <w:t xml:space="preserve">PROCESSO LICITATÓRIO Nº. </w:t>
      </w:r>
      <w:r>
        <w:rPr>
          <w:b/>
          <w:iCs/>
          <w:sz w:val="24"/>
          <w:szCs w:val="24"/>
          <w:lang w:val="pt-BR"/>
        </w:rPr>
        <w:t>040/2022</w:t>
      </w:r>
    </w:p>
    <w:p>
      <w:pPr>
        <w:overflowPunct/>
        <w:spacing w:before="0" w:after="0" w:line="240" w:lineRule="auto"/>
        <w:ind w:left="142" w:right="-1" w:firstLine="0"/>
        <w:jc w:val="center"/>
        <w:textAlignment w:val="baseline"/>
        <w:rPr>
          <w:b/>
          <w:iCs/>
          <w:sz w:val="24"/>
          <w:szCs w:val="24"/>
        </w:rPr>
      </w:pPr>
    </w:p>
    <w:p>
      <w:pPr>
        <w:overflowPunct/>
        <w:spacing w:before="0" w:after="0" w:line="240" w:lineRule="auto"/>
        <w:ind w:left="142" w:right="-1" w:firstLine="0"/>
        <w:textAlignment w:val="baseline"/>
        <w:rPr>
          <w:b/>
          <w:iCs/>
          <w:sz w:val="24"/>
          <w:szCs w:val="24"/>
        </w:rPr>
      </w:pPr>
      <w:r>
        <w:rPr>
          <w:b/>
          <w:iCs/>
          <w:sz w:val="24"/>
          <w:szCs w:val="24"/>
        </w:rPr>
        <w:t>1  PREÂMBULO</w:t>
      </w:r>
    </w:p>
    <w:p>
      <w:pPr>
        <w:overflowPunct/>
        <w:spacing w:before="0" w:after="0" w:line="240" w:lineRule="auto"/>
        <w:ind w:left="142" w:right="-1" w:firstLine="0"/>
        <w:textAlignment w:val="baseline"/>
        <w:rPr>
          <w:rFonts w:eastAsia="Times New Roman"/>
          <w:iCs/>
          <w:sz w:val="21"/>
          <w:szCs w:val="21"/>
          <w:lang w:eastAsia="pt-BR"/>
        </w:rPr>
      </w:pPr>
    </w:p>
    <w:p>
      <w:pPr>
        <w:numPr>
          <w:ilvl w:val="1"/>
          <w:numId w:val="1"/>
        </w:numPr>
        <w:overflowPunct/>
        <w:spacing w:before="0"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iCs/>
          <w:sz w:val="22"/>
          <w:lang w:val="pt-BR"/>
        </w:rPr>
        <w:t>387</w:t>
      </w:r>
      <w:r>
        <w:rPr>
          <w:sz w:val="22"/>
        </w:rPr>
        <w:t xml:space="preserve"> de </w:t>
      </w:r>
      <w:r>
        <w:rPr>
          <w:sz w:val="22"/>
          <w:lang w:val="pt-BR"/>
        </w:rPr>
        <w:t>1</w:t>
      </w:r>
      <w:r>
        <w:rPr>
          <w:sz w:val="22"/>
        </w:rPr>
        <w:t xml:space="preserve">6 de </w:t>
      </w:r>
      <w:r>
        <w:rPr>
          <w:sz w:val="22"/>
          <w:lang w:val="pt-BR"/>
        </w:rPr>
        <w:t>julho</w:t>
      </w:r>
      <w:r>
        <w:rPr>
          <w:sz w:val="22"/>
        </w:rPr>
        <w:t xml:space="preserve"> de 2021</w:t>
      </w:r>
      <w:r>
        <w:rPr>
          <w:rFonts w:hint="default"/>
          <w:sz w:val="22"/>
          <w:lang w:val="pt-BR"/>
        </w:rPr>
        <w:t xml:space="preserve"> e suas alterações pela Portaria 051 de 24 de janeiro de 2022 </w:t>
      </w:r>
      <w:r>
        <w:rPr>
          <w:iCs/>
          <w:sz w:val="22"/>
        </w:rPr>
        <w:t xml:space="preserve">, sito na </w:t>
      </w:r>
      <w:r>
        <w:rPr>
          <w:iCs/>
          <w:sz w:val="22"/>
          <w:lang w:val="pt-BR"/>
        </w:rPr>
        <w:t>Avenida Weimar Gonçalves Torres, nº 862</w:t>
      </w:r>
      <w:r>
        <w:rPr>
          <w:iCs/>
          <w:sz w:val="22"/>
        </w:rPr>
        <w:t xml:space="preserve">,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sz w:val="21"/>
          <w:szCs w:val="21"/>
          <w:lang w:eastAsia="pt-BR"/>
        </w:rPr>
        <w:t>A Abertura da sessão inicial do processo licitatório acontecerá na sala de reuniões da PREFEITURA MUNICIPAL DE NAVIRAÍ, no dia</w:t>
      </w:r>
      <w:r>
        <w:rPr>
          <w:rFonts w:eastAsia="Times New Roman"/>
          <w:sz w:val="21"/>
          <w:szCs w:val="21"/>
          <w:lang w:val="en-US" w:eastAsia="pt-BR"/>
        </w:rPr>
        <w:t xml:space="preserve"> </w:t>
      </w:r>
      <w:r>
        <w:rPr>
          <w:rFonts w:hint="default" w:eastAsia="Times New Roman"/>
          <w:b/>
          <w:bCs/>
          <w:sz w:val="21"/>
          <w:szCs w:val="21"/>
          <w:lang w:val="en-US" w:eastAsia="pt-BR"/>
        </w:rPr>
        <w:t xml:space="preserve">25 de abril </w:t>
      </w:r>
      <w:r>
        <w:rPr>
          <w:rFonts w:eastAsia="Times New Roman"/>
          <w:b/>
          <w:bCs/>
          <w:sz w:val="21"/>
          <w:szCs w:val="21"/>
          <w:lang w:val="en-US" w:eastAsia="pt-BR"/>
        </w:rPr>
        <w:t>de 202</w:t>
      </w:r>
      <w:r>
        <w:rPr>
          <w:rFonts w:hint="default" w:eastAsia="Times New Roman"/>
          <w:b/>
          <w:bCs/>
          <w:sz w:val="21"/>
          <w:szCs w:val="21"/>
          <w:lang w:val="en-US" w:eastAsia="pt-BR"/>
        </w:rPr>
        <w:t>2</w:t>
      </w:r>
      <w:r>
        <w:rPr>
          <w:rFonts w:eastAsia="Times New Roman"/>
          <w:b/>
          <w:bCs/>
          <w:iCs/>
          <w:sz w:val="21"/>
          <w:szCs w:val="21"/>
          <w:lang w:eastAsia="pt-BR"/>
        </w:rPr>
        <w:t xml:space="preserve">, às </w:t>
      </w:r>
      <w:r>
        <w:rPr>
          <w:rFonts w:eastAsia="Times New Roman"/>
          <w:b/>
          <w:bCs/>
          <w:iCs/>
          <w:sz w:val="21"/>
          <w:szCs w:val="21"/>
          <w:lang w:val="en-US" w:eastAsia="pt-BR"/>
        </w:rPr>
        <w:t>08h00min.</w:t>
      </w:r>
    </w:p>
    <w:p>
      <w:pPr>
        <w:spacing w:before="0" w:after="0"/>
        <w:ind w:left="567" w:hanging="567"/>
        <w:contextualSpacing/>
        <w:jc w:val="both"/>
        <w:textAlignment w:val="baseline"/>
        <w:rPr>
          <w:rFonts w:eastAsia="Calibri"/>
          <w:sz w:val="21"/>
          <w:szCs w:val="21"/>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spacing w:before="0"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CONTRATAÇÃO DE EMPRESA ESPECIALIZADA PARA EXECUÇÃO DA OBRA DE PAVIMENTAÇÃO ASFÁLTICA COM GUIAS E SARJETAS E DRENAGEM DE ÁGUAS PLUVIAIS DA RUA LATERAL DO PARQUE CUMANDAÍ, LOCALIZADA NO MUNICÍPIO DE NAVIRAÍ/MS. SOLICITAÇ</w:t>
      </w:r>
      <w:r>
        <w:rPr>
          <w:rFonts w:hint="default"/>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PEDIDO DE SERVIÇO Nº 080/2022.</w:t>
      </w:r>
    </w:p>
    <w:p>
      <w:pPr>
        <w:overflowPunct/>
        <w:spacing w:before="0"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spacing w:before="0" w:after="0" w:line="240" w:lineRule="auto"/>
        <w:ind w:left="567" w:right="-1" w:hanging="567"/>
        <w:jc w:val="both"/>
        <w:textAlignment w:val="baseline"/>
        <w:rPr>
          <w:rFonts w:eastAsia="Times New Roman"/>
          <w:sz w:val="21"/>
          <w:szCs w:val="21"/>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18"/>
          <w:szCs w:val="18"/>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18"/>
          <w:szCs w:val="18"/>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spacing w:before="0" w:after="0" w:line="240" w:lineRule="auto"/>
        <w:ind w:left="709" w:right="-1" w:firstLine="0"/>
        <w:textAlignment w:val="baseline"/>
        <w:rPr>
          <w:rFonts w:eastAsia="Times New Roman"/>
          <w:iCs/>
          <w:sz w:val="14"/>
          <w:szCs w:val="14"/>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18"/>
          <w:szCs w:val="18"/>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1"/>
          <w:szCs w:val="21"/>
          <w:lang w:eastAsia="pt-BR"/>
        </w:rPr>
      </w:pPr>
    </w:p>
    <w:p>
      <w:pPr>
        <w:overflowPunct/>
        <w:spacing w:before="0" w:after="0" w:line="240" w:lineRule="auto"/>
        <w:ind w:left="360" w:right="-1" w:firstLine="0"/>
        <w:jc w:val="both"/>
        <w:textAlignment w:val="baseline"/>
        <w:rPr>
          <w:rFonts w:eastAsia="Times New Roman"/>
          <w:iCs/>
          <w:sz w:val="21"/>
          <w:szCs w:val="21"/>
          <w:lang w:eastAsia="pt-BR"/>
        </w:rPr>
      </w:pP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2010410"/>
                <wp:effectExtent l="0" t="0" r="10160" b="28575"/>
                <wp:wrapNone/>
                <wp:docPr id="1" name="Caixa de Texto 6"/>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25</w:t>
                            </w:r>
                            <w:r>
                              <w:rPr>
                                <w:rFonts w:ascii="Arial" w:hAnsi="Arial" w:cs="Arial"/>
                                <w:b/>
                                <w:iCs/>
                              </w:rPr>
                              <w:t>/</w:t>
                            </w:r>
                            <w:r>
                              <w:rPr>
                                <w:rFonts w:hint="default" w:ascii="Arial" w:hAnsi="Arial" w:cs="Arial"/>
                                <w:b/>
                                <w:iCs/>
                                <w:lang w:val="pt-BR"/>
                              </w:rPr>
                              <w:t>04</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8.3pt;width:209.25pt;z-index:251659264;mso-width-relative:page;mso-height-relative:page;" fillcolor="#EAF1DD" filled="t" stroked="t" coordsize="21600,21600" o:allowincell="f" o:gfxdata="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YyDnWAAAACAEAAA8AAAAAAAAAAQAgAAAAIgAAAGRycy9k&#10;b3ducmV2LnhtbFBLAQIUABQAAAAIAIdO4kDK5RMaywEAAL0DAAAOAAAAAAAAAAEAIAAAACUBAABk&#10;cnMvZTJvRG9jLnhtbFBLBQYAAAAABgAGAFkBAABiBQ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25</w:t>
                      </w:r>
                      <w:r>
                        <w:rPr>
                          <w:rFonts w:ascii="Arial" w:hAnsi="Arial" w:cs="Arial"/>
                          <w:b/>
                          <w:iCs/>
                        </w:rPr>
                        <w:t>/</w:t>
                      </w:r>
                      <w:r>
                        <w:rPr>
                          <w:rFonts w:hint="default" w:ascii="Arial" w:hAnsi="Arial" w:cs="Arial"/>
                          <w:b/>
                          <w:iCs/>
                          <w:lang w:val="pt-BR"/>
                        </w:rPr>
                        <w:t>04</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2010410"/>
                <wp:effectExtent l="0" t="0" r="10160" b="28575"/>
                <wp:wrapNone/>
                <wp:docPr id="3" name="Caixa de Texto 3"/>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25</w:t>
                            </w:r>
                            <w:r>
                              <w:rPr>
                                <w:rFonts w:ascii="Arial" w:hAnsi="Arial" w:cs="Arial"/>
                                <w:b/>
                                <w:iCs/>
                              </w:rPr>
                              <w:t>/</w:t>
                            </w:r>
                            <w:r>
                              <w:rPr>
                                <w:rFonts w:hint="default" w:ascii="Arial" w:hAnsi="Arial" w:cs="Arial"/>
                                <w:b/>
                                <w:iCs/>
                                <w:lang w:val="pt-BR"/>
                              </w:rPr>
                              <w:t>04</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8.3pt;width:209.25pt;z-index:251659264;mso-width-relative:page;mso-height-relative:page;" fillcolor="#EAF1DD" filled="t" stroked="t" coordsize="21600,21600" o:allowincell="f" o:gfxdata="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UwLP1wAAAAkBAAAPAAAAAAAAAAEAIAAAACIAAABkcnMv&#10;ZG93bnJldi54bWxQSwECFAAUAAAACACHTuJA+I+CEcsBAAC9AwAADgAAAAAAAAABACAAAAAmAQAA&#10;ZHJzL2Uyb0RvYy54bWxQSwUGAAAAAAYABgBZAQAAYwU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003/2022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25</w:t>
                      </w:r>
                      <w:r>
                        <w:rPr>
                          <w:rFonts w:ascii="Arial" w:hAnsi="Arial" w:cs="Arial"/>
                          <w:b/>
                          <w:iCs/>
                        </w:rPr>
                        <w:t>/</w:t>
                      </w:r>
                      <w:r>
                        <w:rPr>
                          <w:rFonts w:hint="default" w:ascii="Arial" w:hAnsi="Arial" w:cs="Arial"/>
                          <w:b/>
                          <w:iCs/>
                          <w:lang w:val="pt-BR"/>
                        </w:rPr>
                        <w:t>04</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567" w:right="-1" w:firstLine="687"/>
        <w:jc w:val="both"/>
        <w:textAlignment w:val="baseline"/>
        <w:rPr>
          <w:rFonts w:eastAsia="Times New Roman"/>
          <w:b/>
          <w:iCs/>
          <w:sz w:val="10"/>
          <w:szCs w:val="10"/>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1"/>
          <w:szCs w:val="21"/>
        </w:rPr>
      </w:pPr>
      <w:r>
        <w:rPr>
          <w:rFonts w:eastAsia="Times New Roman"/>
          <w:b/>
          <w:sz w:val="21"/>
          <w:szCs w:val="21"/>
        </w:rPr>
        <w:t>CREDENCIAMENTO</w:t>
      </w:r>
    </w:p>
    <w:p>
      <w:pPr>
        <w:overflowPunct/>
        <w:spacing w:before="0"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ind w:left="567" w:hanging="567"/>
        <w:jc w:val="both"/>
        <w:rPr>
          <w:rFonts w:eastAsia="Calibri"/>
          <w:sz w:val="24"/>
          <w:szCs w:val="24"/>
        </w:rPr>
      </w:pPr>
    </w:p>
    <w:p>
      <w:pPr>
        <w:pStyle w:val="62"/>
        <w:shd w:val="clear" w:color="auto" w:fill="F2F2F2"/>
        <w:overflowPunct/>
        <w:spacing w:before="0" w:after="0" w:line="240" w:lineRule="auto"/>
        <w:contextualSpacing/>
        <w:jc w:val="both"/>
        <w:textAlignment w:val="baseline"/>
        <w:rPr>
          <w:sz w:val="24"/>
          <w:szCs w:val="24"/>
        </w:rPr>
      </w:pPr>
      <w:r>
        <w:rPr>
          <w:b/>
          <w:sz w:val="24"/>
          <w:szCs w:val="24"/>
        </w:rPr>
        <w:t xml:space="preserve">a) </w:t>
      </w:r>
      <w:r>
        <w:rPr>
          <w:sz w:val="24"/>
          <w:szCs w:val="24"/>
        </w:rPr>
        <w:t>Documento oficial com foto</w:t>
      </w:r>
    </w:p>
    <w:p>
      <w:pPr>
        <w:pStyle w:val="62"/>
        <w:spacing w:before="0" w:after="0" w:line="240" w:lineRule="auto"/>
        <w:contextualSpacing/>
        <w:jc w:val="both"/>
        <w:rPr>
          <w:sz w:val="21"/>
          <w:szCs w:val="21"/>
        </w:rPr>
      </w:pPr>
      <w:r>
        <w:rPr>
          <w:b/>
          <w:sz w:val="24"/>
          <w:szCs w:val="24"/>
        </w:rPr>
        <w:t>b</w:t>
      </w:r>
      <w:r>
        <w:rPr>
          <w:sz w:val="24"/>
          <w:szCs w:val="24"/>
        </w:rPr>
        <w:t>)  Carta de Credenciamento (Anexo III)</w:t>
      </w:r>
      <w:r>
        <w:rPr>
          <w:sz w:val="21"/>
          <w:szCs w:val="21"/>
        </w:rPr>
        <w:t xml:space="preserve"> </w:t>
      </w:r>
    </w:p>
    <w:p>
      <w:pPr>
        <w:ind w:right="-1" w:firstLine="0"/>
        <w:jc w:val="both"/>
        <w:rPr>
          <w:iCs/>
          <w:sz w:val="24"/>
          <w:szCs w:val="24"/>
        </w:rPr>
      </w:pPr>
    </w:p>
    <w:p>
      <w:pPr>
        <w:pStyle w:val="62"/>
        <w:numPr>
          <w:ilvl w:val="2"/>
          <w:numId w:val="5"/>
        </w:numPr>
        <w:overflowPunct/>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62"/>
        <w:ind w:left="851" w:firstLine="0"/>
        <w:rPr>
          <w:b/>
          <w:bCs/>
          <w:sz w:val="24"/>
          <w:szCs w:val="24"/>
          <w:lang w:eastAsia="pt-BR"/>
        </w:rPr>
      </w:pPr>
    </w:p>
    <w:p>
      <w:pPr>
        <w:pStyle w:val="62"/>
        <w:numPr>
          <w:ilvl w:val="0"/>
          <w:numId w:val="6"/>
        </w:numPr>
        <w:overflowPunct/>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62"/>
        <w:overflowPunct/>
        <w:ind w:left="1211" w:firstLine="0"/>
        <w:jc w:val="both"/>
        <w:textAlignment w:val="baseline"/>
        <w:rPr>
          <w:rFonts w:ascii="Times New Roman" w:hAnsi="Times New Roman" w:eastAsia="Times New Roman"/>
          <w:sz w:val="24"/>
          <w:szCs w:val="24"/>
          <w:lang w:eastAsia="pt-BR"/>
        </w:rPr>
      </w:pPr>
    </w:p>
    <w:p>
      <w:pPr>
        <w:pStyle w:val="62"/>
        <w:numPr>
          <w:ilvl w:val="1"/>
          <w:numId w:val="7"/>
        </w:numPr>
        <w:overflowPunct/>
        <w:ind w:left="426" w:hanging="36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62"/>
        <w:numPr>
          <w:ilvl w:val="0"/>
          <w:numId w:val="6"/>
        </w:numPr>
        <w:overflowPunct/>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firstLine="0"/>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63"/>
        <w:ind w:left="567" w:hanging="567"/>
        <w:jc w:val="both"/>
        <w:rPr>
          <w:rFonts w:ascii="Times New Roman" w:hAnsi="Times New Roman" w:cs="Times New Roman"/>
        </w:rPr>
      </w:pPr>
    </w:p>
    <w:p>
      <w:pPr>
        <w:ind w:right="-142" w:firstLine="0"/>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3"/>
        <w:shd w:val="clear" w:color="auto" w:fill="F2F2F2"/>
        <w:ind w:left="851" w:hanging="851"/>
        <w:jc w:val="both"/>
        <w:rPr>
          <w:rFonts w:ascii="Times New Roman" w:hAnsi="Times New Roman" w:cs="Times New Roman"/>
        </w:rPr>
      </w:pPr>
    </w:p>
    <w:p>
      <w:pPr>
        <w:pStyle w:val="63"/>
        <w:ind w:left="567" w:hanging="567"/>
        <w:jc w:val="both"/>
        <w:rPr>
          <w:rFonts w:ascii="Times New Roman" w:hAnsi="Times New Roman" w:cs="Times New Roman"/>
        </w:rPr>
      </w:pPr>
    </w:p>
    <w:p>
      <w:pPr>
        <w:pStyle w:val="63"/>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63"/>
        <w:ind w:left="567" w:hanging="567"/>
        <w:jc w:val="both"/>
        <w:rPr>
          <w:rFonts w:ascii="Times New Roman" w:hAnsi="Times New Roman" w:cs="Times New Roman"/>
        </w:rPr>
      </w:pPr>
    </w:p>
    <w:p>
      <w:pPr>
        <w:pStyle w:val="63"/>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\h </w:instrText>
      </w:r>
      <w:r>
        <w:fldChar w:fldCharType="separate"/>
      </w:r>
      <w:r>
        <w:rPr>
          <w:rFonts w:ascii="Times New Roman" w:hAnsi="Times New Roman" w:cs="Times New Roman"/>
          <w:color w:val="FF0000"/>
          <w:u w:val="single"/>
        </w:rPr>
        <w:t>pregaonavirai@gmail.com</w:t>
      </w:r>
      <w:r>
        <w:rPr>
          <w:rFonts w:ascii="Times New Roman" w:hAnsi="Times New Roman" w:cs="Times New Roman"/>
          <w:color w:val="FF0000"/>
          <w:u w:val="single"/>
        </w:rPr>
        <w:fldChar w:fldCharType="end"/>
      </w:r>
      <w:r>
        <w:rPr>
          <w:rFonts w:ascii="Times New Roman" w:hAnsi="Times New Roman" w:cs="Times New Roman"/>
        </w:rPr>
        <w:t xml:space="preserve">, de segunda a sexta-feira, no horário que compreende das </w:t>
      </w:r>
      <w:r>
        <w:rPr>
          <w:rFonts w:ascii="Times New Roman" w:hAnsi="Times New Roman" w:cs="Times New Roman"/>
          <w:b/>
        </w:rPr>
        <w:t xml:space="preserve">7h às </w:t>
      </w:r>
      <w:r>
        <w:rPr>
          <w:rFonts w:ascii="Times New Roman" w:hAnsi="Times New Roman" w:cs="Times New Roman"/>
          <w:b/>
          <w:lang w:val="pt-BR"/>
        </w:rPr>
        <w:t>13h</w:t>
      </w:r>
      <w:r>
        <w:rPr>
          <w:rFonts w:ascii="Times New Roman" w:hAnsi="Times New Roman" w:cs="Times New Roman"/>
          <w:b/>
        </w:rPr>
        <w:t>.</w:t>
      </w:r>
      <w:r>
        <w:rPr>
          <w:rFonts w:ascii="Times New Roman" w:hAnsi="Times New Roman" w:cs="Times New Roman"/>
        </w:rPr>
        <w:t xml:space="preserve"> </w:t>
      </w:r>
    </w:p>
    <w:p>
      <w:pPr>
        <w:pStyle w:val="63"/>
        <w:jc w:val="both"/>
        <w:rPr>
          <w:rFonts w:ascii="Times New Roman" w:hAnsi="Times New Roman" w:cs="Times New Roman"/>
          <w:highlight w:val="yellow"/>
        </w:rPr>
      </w:pPr>
    </w:p>
    <w:p>
      <w:pPr>
        <w:pStyle w:val="63"/>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63"/>
        <w:jc w:val="both"/>
        <w:rPr>
          <w:rFonts w:ascii="Times New Roman" w:hAnsi="Times New Roman" w:cs="Times New Roman"/>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1"/>
          <w:szCs w:val="21"/>
          <w:lang w:eastAsia="pt-BR"/>
        </w:rPr>
      </w:pPr>
    </w:p>
    <w:p>
      <w:pPr>
        <w:spacing w:before="0"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spacing w:before="0" w:after="0" w:line="240" w:lineRule="auto"/>
        <w:jc w:val="both"/>
        <w:rPr>
          <w:rFonts w:eastAsia="Times New Roman"/>
          <w:color w:val="000000"/>
          <w:sz w:val="21"/>
          <w:szCs w:val="21"/>
          <w:lang w:eastAsia="pt-BR"/>
        </w:rPr>
      </w:pPr>
    </w:p>
    <w:p>
      <w:pPr>
        <w:pStyle w:val="63"/>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63"/>
        <w:jc w:val="both"/>
        <w:rPr>
          <w:rFonts w:ascii="Times New Roman" w:hAnsi="Times New Roman" w:cs="Times New Roman"/>
        </w:rPr>
      </w:pPr>
    </w:p>
    <w:p>
      <w:pPr>
        <w:pStyle w:val="63"/>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10"/>
        </w:numPr>
        <w:shd w:val="clear" w:color="auto" w:fill="F2F2F2"/>
        <w:tabs>
          <w:tab w:val="left" w:pos="-4111"/>
        </w:tabs>
        <w:suppressAutoHyphens/>
        <w:overflowPunct/>
        <w:spacing w:before="0"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spacing w:before="0" w:after="200"/>
        <w:contextualSpacing/>
        <w:jc w:val="both"/>
        <w:rPr>
          <w:rFonts w:eastAsia="Calibri"/>
          <w:iCs/>
          <w:sz w:val="24"/>
          <w:szCs w:val="24"/>
        </w:rPr>
      </w:pPr>
    </w:p>
    <w:p>
      <w:pPr>
        <w:pStyle w:val="63"/>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63"/>
        <w:shd w:val="clear" w:color="auto" w:fill="F2F2F2"/>
        <w:ind w:left="851" w:hanging="851"/>
        <w:jc w:val="both"/>
        <w:rPr>
          <w:rFonts w:ascii="Times New Roman" w:hAnsi="Times New Roman" w:cs="Times New Roman"/>
          <w:spacing w:val="-3"/>
        </w:rPr>
      </w:pPr>
    </w:p>
    <w:p>
      <w:pPr>
        <w:numPr>
          <w:ilvl w:val="0"/>
          <w:numId w:val="11"/>
        </w:numPr>
        <w:overflowPunct/>
        <w:spacing w:before="0" w:after="0" w:line="240" w:lineRule="auto"/>
        <w:jc w:val="both"/>
        <w:textAlignment w:val="baseline"/>
        <w:rPr>
          <w:b/>
          <w:sz w:val="28"/>
          <w:szCs w:val="28"/>
        </w:rPr>
      </w:pPr>
      <w:r>
        <w:rPr>
          <w:rFonts w:hint="default"/>
          <w:b/>
          <w:sz w:val="28"/>
          <w:szCs w:val="28"/>
          <w:lang w:val="pt-BR"/>
        </w:rPr>
        <w:t>Construção de Pavimento com Aplicação de Concreto Betuminoso Usinado a Quente (CBUQ), camada de rolamento, com espessura de 3,0 cm - exclusive transporte;</w:t>
      </w:r>
    </w:p>
    <w:p>
      <w:pPr>
        <w:numPr>
          <w:ilvl w:val="0"/>
          <w:numId w:val="0"/>
        </w:numPr>
        <w:overflowPunct/>
        <w:spacing w:before="0" w:after="0" w:line="240" w:lineRule="auto"/>
        <w:ind w:left="360" w:leftChars="0"/>
        <w:jc w:val="both"/>
        <w:textAlignment w:val="baseline"/>
        <w:rPr>
          <w:b/>
          <w:sz w:val="24"/>
          <w:szCs w:val="24"/>
        </w:rPr>
      </w:pPr>
    </w:p>
    <w:p>
      <w:pPr>
        <w:overflowPunct/>
        <w:spacing w:before="0" w:after="0" w:line="240" w:lineRule="auto"/>
        <w:ind w:left="720" w:firstLine="0"/>
        <w:jc w:val="both"/>
        <w:textAlignment w:val="baseline"/>
        <w:rPr>
          <w:b/>
          <w:sz w:val="24"/>
          <w:szCs w:val="24"/>
        </w:rPr>
      </w:pPr>
    </w:p>
    <w:p>
      <w:pPr>
        <w:ind w:right="-1" w:firstLine="0"/>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firstLine="0"/>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firstLine="0"/>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1"/>
          <w:szCs w:val="21"/>
          <w:lang w:eastAsia="pt-BR"/>
        </w:rPr>
      </w:pPr>
    </w:p>
    <w:p>
      <w:pPr>
        <w:suppressAutoHyphens/>
        <w:spacing w:before="0"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before="0" w:after="0" w:line="240" w:lineRule="auto"/>
        <w:jc w:val="both"/>
        <w:rPr>
          <w:rFonts w:eastAsia="Times New Roman"/>
          <w:sz w:val="21"/>
          <w:szCs w:val="21"/>
          <w:lang w:eastAsia="ar-SA"/>
        </w:rPr>
      </w:pPr>
    </w:p>
    <w:p>
      <w:pPr>
        <w:tabs>
          <w:tab w:val="left" w:pos="1418"/>
          <w:tab w:val="left" w:pos="2410"/>
        </w:tabs>
        <w:suppressAutoHyphens/>
        <w:spacing w:before="0" w:after="0" w:line="240" w:lineRule="auto"/>
        <w:ind w:left="851" w:firstLine="0"/>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18"/>
          <w:szCs w:val="18"/>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1"/>
          <w:szCs w:val="21"/>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spacing w:before="0"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1"/>
          <w:szCs w:val="21"/>
          <w:lang w:eastAsia="pt-BR"/>
        </w:rPr>
      </w:pPr>
    </w:p>
    <w:p>
      <w:pPr>
        <w:tabs>
          <w:tab w:val="left" w:pos="2410"/>
        </w:tabs>
        <w:spacing w:before="0"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1"/>
          <w:szCs w:val="21"/>
          <w:lang w:eastAsia="ar-SA"/>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1"/>
          <w:szCs w:val="21"/>
          <w:lang w:eastAsia="pt-BR"/>
        </w:rPr>
      </w:pPr>
    </w:p>
    <w:p>
      <w:pPr>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spacing w:before="0" w:after="0" w:line="240" w:lineRule="auto"/>
        <w:ind w:left="712" w:firstLine="0"/>
        <w:jc w:val="both"/>
        <w:textAlignment w:val="baseline"/>
        <w:rPr>
          <w:rFonts w:eastAsia="Times New Roman"/>
          <w:sz w:val="21"/>
          <w:szCs w:val="21"/>
          <w:lang w:eastAsia="pt-BR"/>
        </w:rPr>
      </w:pPr>
    </w:p>
    <w:p>
      <w:pPr>
        <w:overflowPunct/>
        <w:spacing w:before="0"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spacing w:before="0" w:after="0" w:line="240" w:lineRule="auto"/>
        <w:ind w:left="712" w:firstLine="0"/>
        <w:jc w:val="both"/>
        <w:rPr>
          <w:rFonts w:eastAsia="Times New Roman"/>
          <w:color w:val="000000"/>
          <w:sz w:val="21"/>
          <w:szCs w:val="21"/>
          <w:lang w:eastAsia="pt-BR"/>
        </w:rPr>
      </w:pPr>
    </w:p>
    <w:p>
      <w:pPr>
        <w:pStyle w:val="63"/>
        <w:ind w:left="712" w:firstLine="0"/>
        <w:jc w:val="both"/>
        <w:rPr>
          <w:rFonts w:ascii="Times New Roman" w:hAnsi="Times New Roman" w:cs="Times New Roman"/>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firstLine="0"/>
        <w:jc w:val="both"/>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62"/>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62"/>
        <w:rPr>
          <w:bCs/>
          <w:iCs/>
          <w:sz w:val="24"/>
          <w:szCs w:val="24"/>
        </w:rPr>
      </w:pPr>
    </w:p>
    <w:p>
      <w:pPr>
        <w:spacing w:before="0"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1"/>
          <w:szCs w:val="21"/>
          <w:lang w:eastAsia="pt-BR"/>
        </w:rPr>
      </w:pPr>
    </w:p>
    <w:p>
      <w:pPr>
        <w:tabs>
          <w:tab w:val="left" w:pos="1965"/>
        </w:tabs>
        <w:spacing w:before="0"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spacing w:before="0" w:after="0" w:line="240" w:lineRule="auto"/>
        <w:jc w:val="both"/>
        <w:textAlignment w:val="baseline"/>
        <w:rPr>
          <w:rFonts w:eastAsia="Times New Roman"/>
          <w:b/>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1"/>
          <w:szCs w:val="21"/>
          <w:lang w:eastAsia="pt-BR"/>
        </w:rPr>
      </w:pPr>
    </w:p>
    <w:p>
      <w:pPr>
        <w:numPr>
          <w:ilvl w:val="0"/>
          <w:numId w:val="15"/>
        </w:numPr>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spacing w:before="0" w:after="0" w:line="240" w:lineRule="auto"/>
        <w:ind w:left="993" w:hanging="284"/>
        <w:jc w:val="both"/>
        <w:textAlignment w:val="baseline"/>
        <w:rPr>
          <w:rFonts w:eastAsia="Times New Roman"/>
          <w:sz w:val="21"/>
          <w:szCs w:val="21"/>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1"/>
          <w:szCs w:val="21"/>
          <w:lang w:eastAsia="pt-BR"/>
        </w:rPr>
      </w:pPr>
    </w:p>
    <w:p>
      <w:pPr>
        <w:keepNext/>
        <w:keepLines/>
        <w:widowControl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1"/>
          <w:szCs w:val="21"/>
          <w:lang w:eastAsia="pt-BR"/>
        </w:rPr>
      </w:pPr>
    </w:p>
    <w:p>
      <w:pPr>
        <w:overflowPunct/>
        <w:spacing w:before="0"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1.005.306,80</w:t>
      </w:r>
      <w:r>
        <w:rPr>
          <w:rFonts w:eastAsia="Times New Roman"/>
          <w:b/>
          <w:bCs/>
          <w:iCs/>
          <w:sz w:val="21"/>
          <w:szCs w:val="21"/>
          <w:lang w:eastAsia="pt-BR"/>
        </w:rPr>
        <w:t xml:space="preserve"> (</w:t>
      </w:r>
      <w:r>
        <w:rPr>
          <w:rFonts w:hint="default" w:eastAsia="Times New Roman"/>
          <w:b/>
          <w:bCs/>
          <w:iCs/>
          <w:sz w:val="21"/>
          <w:szCs w:val="21"/>
          <w:lang w:val="en-US" w:eastAsia="pt-BR"/>
        </w:rPr>
        <w:t xml:space="preserve">um milhão cinco mil trezentos e seis reais e oitenta </w:t>
      </w:r>
      <w:r>
        <w:rPr>
          <w:rFonts w:eastAsia="Times New Roman"/>
          <w:b/>
          <w:bCs/>
          <w:iCs/>
          <w:sz w:val="21"/>
          <w:szCs w:val="21"/>
          <w:lang w:val="en-US" w:eastAsia="pt-BR"/>
        </w:rPr>
        <w:t>centavos</w:t>
      </w:r>
      <w:r>
        <w:rPr>
          <w:rFonts w:eastAsia="Times New Roman"/>
          <w:b/>
          <w:bCs/>
          <w:iCs/>
          <w:sz w:val="21"/>
          <w:szCs w:val="21"/>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1"/>
          <w:szCs w:val="21"/>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1"/>
          <w:szCs w:val="21"/>
          <w:lang w:eastAsia="pt-BR"/>
        </w:rPr>
      </w:pPr>
    </w:p>
    <w:p>
      <w:pPr>
        <w:keepNext/>
        <w:keepLines/>
        <w:widowControl w:val="0"/>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spacing w:before="0" w:after="0" w:line="240" w:lineRule="auto"/>
        <w:ind w:right="-1" w:firstLine="0"/>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10"/>
          <w:szCs w:val="10"/>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numPr>
          <w:ilvl w:val="0"/>
          <w:numId w:val="17"/>
        </w:numPr>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1"/>
          <w:szCs w:val="21"/>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10"/>
          <w:szCs w:val="10"/>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spacing w:before="0" w:after="0" w:line="240" w:lineRule="auto"/>
        <w:ind w:left="851" w:firstLine="0"/>
        <w:textAlignment w:val="baseline"/>
        <w:rPr>
          <w:rFonts w:eastAsia="Times New Roman"/>
          <w:b/>
          <w:bCs/>
          <w:sz w:val="21"/>
          <w:szCs w:val="21"/>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1"/>
          <w:szCs w:val="21"/>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1"/>
          <w:szCs w:val="21"/>
          <w:lang w:eastAsia="pt-BR"/>
        </w:rPr>
      </w:pPr>
    </w:p>
    <w:p>
      <w:pPr>
        <w:spacing w:before="0" w:after="200"/>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overflowPunct/>
        <w:spacing w:before="0" w:after="0" w:line="240" w:lineRule="auto"/>
        <w:ind w:left="142" w:firstLine="0"/>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spacing w:before="0"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rFonts w:hint="default"/>
          <w:b/>
          <w:bCs/>
          <w:sz w:val="24"/>
          <w:szCs w:val="24"/>
          <w:lang w:val="pt-BR"/>
        </w:rPr>
        <w:t>150</w:t>
      </w:r>
      <w:r>
        <w:rPr>
          <w:b/>
          <w:sz w:val="24"/>
          <w:szCs w:val="24"/>
        </w:rPr>
        <w:t xml:space="preserve"> (</w:t>
      </w:r>
      <w:r>
        <w:rPr>
          <w:rFonts w:hint="default"/>
          <w:b/>
          <w:sz w:val="24"/>
          <w:szCs w:val="24"/>
          <w:lang w:val="pt-BR"/>
        </w:rPr>
        <w:t>cento e cinquenta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rFonts w:hint="default"/>
          <w:b/>
          <w:bCs/>
          <w:iCs/>
          <w:sz w:val="24"/>
          <w:szCs w:val="24"/>
          <w:lang w:val="pt-BR"/>
        </w:rPr>
        <w:t>210</w:t>
      </w:r>
      <w:r>
        <w:rPr>
          <w:b/>
          <w:iCs/>
          <w:sz w:val="24"/>
          <w:szCs w:val="24"/>
        </w:rPr>
        <w:t xml:space="preserve"> </w:t>
      </w:r>
      <w:r>
        <w:rPr>
          <w:b/>
          <w:sz w:val="24"/>
          <w:szCs w:val="24"/>
        </w:rPr>
        <w:t>(</w:t>
      </w:r>
      <w:r>
        <w:rPr>
          <w:rFonts w:hint="default"/>
          <w:b/>
          <w:sz w:val="24"/>
          <w:szCs w:val="24"/>
          <w:lang w:val="pt-BR"/>
        </w:rPr>
        <w:t>duzentos e dez</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spacing w:before="0"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lang w:eastAsia="pt-BR"/>
        </w:rPr>
      </w:pPr>
    </w:p>
    <w:p>
      <w:pPr>
        <w:keepNext/>
        <w:keepLines/>
        <w:widowControl w:val="0"/>
        <w:spacing w:before="20" w:after="200"/>
        <w:ind w:left="567" w:hanging="567"/>
        <w:contextualSpacing/>
        <w:jc w:val="both"/>
        <w:rPr>
          <w:b/>
          <w:bCs/>
          <w:iCs/>
          <w:sz w:val="24"/>
          <w:szCs w:val="24"/>
        </w:rPr>
      </w:pPr>
      <w:r>
        <w:rPr>
          <w:b/>
          <w:sz w:val="24"/>
          <w:szCs w:val="24"/>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4"/>
          <w:szCs w:val="24"/>
        </w:rPr>
      </w:pPr>
    </w:p>
    <w:p>
      <w:pPr>
        <w:spacing w:before="240" w:after="20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after="20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after="200"/>
        <w:ind w:left="567" w:right="-1" w:hanging="567"/>
        <w:jc w:val="both"/>
        <w:rPr>
          <w:rFonts w:hint="default"/>
          <w:iCs/>
          <w:sz w:val="24"/>
          <w:szCs w:val="24"/>
          <w:lang w:val="pt-BR"/>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w:t>
      </w:r>
      <w:r>
        <w:rPr>
          <w:rFonts w:hint="default"/>
          <w:iCs/>
          <w:sz w:val="24"/>
          <w:szCs w:val="24"/>
          <w:lang w:val="pt-BR"/>
        </w:rPr>
        <w:t xml:space="preserve">ou RRT de execução </w:t>
      </w:r>
      <w:r>
        <w:rPr>
          <w:iCs/>
          <w:sz w:val="24"/>
          <w:szCs w:val="24"/>
        </w:rPr>
        <w:t>para início da obra</w:t>
      </w:r>
      <w:r>
        <w:rPr>
          <w:rFonts w:hint="default"/>
          <w:iCs/>
          <w:sz w:val="24"/>
          <w:szCs w:val="24"/>
          <w:lang w:val="pt-BR"/>
        </w:rPr>
        <w:t>;</w:t>
      </w:r>
    </w:p>
    <w:p>
      <w:pPr>
        <w:spacing w:before="240" w:after="20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after="20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25"/>
        </w:numPr>
        <w:overflowPunct/>
        <w:spacing w:before="0"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after="20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spacing w:before="0" w:after="0" w:line="240" w:lineRule="auto"/>
        <w:ind w:left="709" w:right="-1" w:hanging="709"/>
        <w:jc w:val="both"/>
        <w:textAlignment w:val="baseline"/>
        <w:rPr>
          <w:rFonts w:eastAsia="Times New Roman"/>
          <w:b/>
          <w:bCs/>
          <w:iCs/>
          <w:sz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rPr>
      </w:pPr>
    </w:p>
    <w:p>
      <w:pPr>
        <w:tabs>
          <w:tab w:val="left" w:pos="2346"/>
        </w:tabs>
        <w:overflowPunct/>
        <w:spacing w:before="0"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Os recursos financeiros para o cumprimento das obrigações constantes neste edital serão oriundos d</w:t>
      </w:r>
      <w:r>
        <w:rPr>
          <w:rFonts w:hint="default" w:eastAsia="Times New Roman"/>
          <w:iCs/>
          <w:sz w:val="22"/>
          <w:lang w:val="en-US" w:eastAsia="pt-BR"/>
        </w:rPr>
        <w:t>e Transferência Especial e d</w:t>
      </w:r>
      <w:r>
        <w:rPr>
          <w:rFonts w:eastAsia="Times New Roman"/>
          <w:iCs/>
          <w:sz w:val="22"/>
          <w:lang w:val="en-US" w:eastAsia="pt-BR"/>
        </w:rPr>
        <w:t xml:space="preserve">e Recursos Próprios da </w:t>
      </w:r>
      <w:r>
        <w:rPr>
          <w:rFonts w:hint="default" w:eastAsia="Times New Roman"/>
          <w:iCs/>
          <w:sz w:val="22"/>
          <w:lang w:val="en-US" w:eastAsia="pt-BR"/>
        </w:rPr>
        <w:t>Gerência de Obras</w:t>
      </w:r>
      <w:r>
        <w:rPr>
          <w:rFonts w:eastAsia="Times New Roman"/>
          <w:iCs/>
          <w:sz w:val="22"/>
          <w:lang w:eastAsia="pt-BR"/>
        </w:rPr>
        <w:t>, sendo que a despesa decorrente da execução do objeto da presente licitação correrá a cargo da</w:t>
      </w:r>
      <w:r>
        <w:rPr>
          <w:rFonts w:hint="default" w:eastAsia="Times New Roman"/>
          <w:iCs/>
          <w:sz w:val="22"/>
          <w:lang w:val="en-US" w:eastAsia="pt-BR"/>
        </w:rPr>
        <w:t>s</w:t>
      </w:r>
      <w:r>
        <w:rPr>
          <w:rFonts w:eastAsia="Times New Roman"/>
          <w:iCs/>
          <w:sz w:val="22"/>
          <w:lang w:eastAsia="pt-BR"/>
        </w:rPr>
        <w:t xml:space="preserve"> seguinte</w:t>
      </w:r>
      <w:r>
        <w:rPr>
          <w:rFonts w:hint="default" w:eastAsia="Times New Roman"/>
          <w:iCs/>
          <w:sz w:val="22"/>
          <w:lang w:val="en-US" w:eastAsia="pt-BR"/>
        </w:rPr>
        <w:t xml:space="preserve">s </w:t>
      </w:r>
      <w:r>
        <w:rPr>
          <w:rFonts w:eastAsia="Times New Roman"/>
          <w:iCs/>
          <w:sz w:val="22"/>
          <w:lang w:eastAsia="pt-BR"/>
        </w:rPr>
        <w:t>dotaç</w:t>
      </w:r>
      <w:r>
        <w:rPr>
          <w:rFonts w:hint="default" w:eastAsia="Times New Roman"/>
          <w:iCs/>
          <w:sz w:val="22"/>
          <w:lang w:val="en-US" w:eastAsia="pt-BR"/>
        </w:rPr>
        <w:t>ões</w:t>
      </w:r>
      <w:r>
        <w:rPr>
          <w:rFonts w:eastAsia="Times New Roman"/>
          <w:iCs/>
          <w:sz w:val="22"/>
          <w:lang w:eastAsia="pt-BR"/>
        </w:rPr>
        <w:t xml:space="preserve"> orçamentária</w:t>
      </w:r>
      <w:r>
        <w:rPr>
          <w:rFonts w:hint="default" w:eastAsia="Times New Roman"/>
          <w:iCs/>
          <w:sz w:val="22"/>
          <w:lang w:val="en-US" w:eastAsia="pt-BR"/>
        </w:rPr>
        <w:t>s</w:t>
      </w:r>
      <w:r>
        <w:rPr>
          <w:rFonts w:eastAsia="Times New Roman"/>
          <w:iCs/>
          <w:sz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lang w:val="en-US" w:eastAsia="pt-BR"/>
        </w:rPr>
      </w:pPr>
      <w:r>
        <w:rPr>
          <w:rFonts w:eastAsia="Times New Roman"/>
          <w:b/>
          <w:iCs/>
          <w:sz w:val="22"/>
          <w:lang w:eastAsia="pt-BR"/>
        </w:rPr>
        <w:t xml:space="preserve">GERÊNCIA DE </w:t>
      </w:r>
      <w:r>
        <w:rPr>
          <w:rFonts w:hint="default" w:eastAsia="Times New Roman"/>
          <w:b/>
          <w:iCs/>
          <w:sz w:val="22"/>
          <w:lang w:val="en-US" w:eastAsia="pt-BR"/>
        </w:rPr>
        <w:t>OBRAS</w:t>
      </w:r>
      <w:r>
        <w:rPr>
          <w:rFonts w:eastAsia="Times New Roman"/>
          <w:b/>
          <w:iCs/>
          <w:sz w:val="22"/>
          <w:lang w:eastAsia="pt-BR"/>
        </w:rPr>
        <w:t xml:space="preserve"> – </w:t>
      </w:r>
      <w:r>
        <w:rPr>
          <w:rFonts w:hint="default" w:eastAsia="Times New Roman"/>
          <w:b/>
          <w:iCs/>
          <w:sz w:val="22"/>
          <w:lang w:val="en-US" w:eastAsia="pt-BR"/>
        </w:rPr>
        <w:t xml:space="preserve">DOTAÇÕES </w:t>
      </w:r>
      <w:r>
        <w:rPr>
          <w:rFonts w:eastAsia="Times New Roman"/>
          <w:b/>
          <w:iCs/>
          <w:sz w:val="22"/>
          <w:lang w:eastAsia="pt-BR"/>
        </w:rPr>
        <w:t>ORÇAMENTÁRIA</w:t>
      </w:r>
      <w:r>
        <w:rPr>
          <w:rFonts w:hint="default" w:eastAsia="Times New Roman"/>
          <w:b/>
          <w:iCs/>
          <w:sz w:val="22"/>
          <w:lang w:val="en-US" w:eastAsia="pt-BR"/>
        </w:rPr>
        <w:t>S</w:t>
      </w:r>
      <w:r>
        <w:rPr>
          <w:rFonts w:eastAsia="Times New Roman"/>
          <w:b/>
          <w:iCs/>
          <w:sz w:val="22"/>
          <w:lang w:eastAsia="pt-BR"/>
        </w:rPr>
        <w:t xml:space="preserve">: </w:t>
      </w:r>
      <w:r>
        <w:rPr>
          <w:rFonts w:hint="default" w:eastAsia="Times New Roman"/>
          <w:b/>
          <w:iCs/>
          <w:sz w:val="22"/>
          <w:lang w:val="en-US" w:eastAsia="pt-BR"/>
        </w:rPr>
        <w:t>01.04.15.451.0401.1.005-44.920.51.00.00.00 (R 11680) e 01.04.15.451.0401.1.005-44.90.51.00.00.00 (R 4367).</w:t>
      </w:r>
    </w:p>
    <w:p>
      <w:pPr>
        <w:overflowPunct/>
        <w:spacing w:before="0" w:after="0" w:line="240" w:lineRule="auto"/>
        <w:ind w:left="993" w:right="-1" w:firstLine="0"/>
        <w:jc w:val="both"/>
        <w:textAlignment w:val="baseline"/>
        <w:rPr>
          <w:rFonts w:eastAsia="Times New Roman"/>
          <w:b/>
          <w:iCs/>
          <w:sz w:val="22"/>
          <w:lang w:eastAsia="pt-BR"/>
        </w:rPr>
      </w:pPr>
    </w:p>
    <w:p>
      <w:pPr>
        <w:keepNext/>
        <w:keepLines/>
        <w:widowControl w:val="0"/>
        <w:tabs>
          <w:tab w:val="left" w:pos="-7088"/>
        </w:tabs>
        <w:spacing w:before="20" w:after="20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after="200"/>
        <w:ind w:left="567" w:hanging="567"/>
        <w:contextualSpacing/>
        <w:jc w:val="both"/>
        <w:rPr>
          <w:b/>
          <w:sz w:val="24"/>
          <w:szCs w:val="24"/>
        </w:rPr>
      </w:pPr>
    </w:p>
    <w:p>
      <w:pPr>
        <w:spacing w:before="0"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spacing w:before="0" w:after="200"/>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7"/>
        </w:numPr>
        <w:tabs>
          <w:tab w:val="left" w:pos="-7088"/>
          <w:tab w:val="left" w:pos="0"/>
        </w:tabs>
        <w:overflowPunct/>
        <w:spacing w:before="0"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firstLine="0"/>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iCs/>
          <w:sz w:val="24"/>
          <w:szCs w:val="24"/>
          <w:lang w:val="pt-BR"/>
        </w:rPr>
        <w:t>6</w:t>
      </w:r>
      <w:r>
        <w:rPr>
          <w:iCs/>
          <w:sz w:val="24"/>
          <w:szCs w:val="24"/>
        </w:rPr>
        <w:t xml:space="preserve"> (</w:t>
      </w:r>
      <w:r>
        <w:rPr>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w:t>
      </w:r>
      <w:r>
        <w:rPr>
          <w:rFonts w:hint="default"/>
          <w:sz w:val="24"/>
          <w:szCs w:val="24"/>
          <w:u w:val="single"/>
          <w:lang w:val="pt-BR"/>
        </w:rPr>
        <w:t>6</w:t>
      </w:r>
      <w:r>
        <w:rPr>
          <w:sz w:val="24"/>
          <w:szCs w:val="24"/>
          <w:u w:val="single"/>
        </w:rPr>
        <w:t xml:space="preserve"> (</w:t>
      </w:r>
      <w:r>
        <w:rPr>
          <w:rFonts w:hint="default"/>
          <w:sz w:val="24"/>
          <w:szCs w:val="24"/>
          <w:u w:val="single"/>
          <w:lang w:val="pt-BR"/>
        </w:rPr>
        <w:t>seis</w:t>
      </w:r>
      <w:r>
        <w:rPr>
          <w:sz w:val="24"/>
          <w:szCs w:val="24"/>
          <w:u w:val="single"/>
        </w:rPr>
        <w:t>) dias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spacing w:before="0" w:after="200"/>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firstLine="0"/>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16"/>
          <w:szCs w:val="16"/>
        </w:rPr>
      </w:pPr>
    </w:p>
    <w:p>
      <w:pPr>
        <w:ind w:right="-1" w:firstLine="0"/>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firstLine="0"/>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Advertência;</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Multa;</w:t>
      </w:r>
    </w:p>
    <w:p>
      <w:pPr>
        <w:tabs>
          <w:tab w:val="left" w:pos="5954"/>
        </w:tabs>
        <w:ind w:left="851" w:right="-1" w:firstLine="0"/>
        <w:jc w:val="both"/>
        <w:rPr>
          <w:iCs/>
          <w:sz w:val="24"/>
          <w:szCs w:val="24"/>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16"/>
          <w:szCs w:val="16"/>
        </w:rPr>
      </w:pPr>
    </w:p>
    <w:p>
      <w:pPr>
        <w:tabs>
          <w:tab w:val="left" w:pos="5954"/>
        </w:tabs>
        <w:ind w:right="-1" w:firstLine="0"/>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firstLine="0"/>
        <w:jc w:val="both"/>
        <w:rPr>
          <w:b/>
          <w:bCs/>
          <w:iCs/>
          <w:sz w:val="24"/>
          <w:szCs w:val="24"/>
        </w:rPr>
      </w:pPr>
    </w:p>
    <w:p>
      <w:pPr>
        <w:tabs>
          <w:tab w:val="left" w:pos="5954"/>
        </w:tabs>
        <w:ind w:right="-1" w:firstLine="0"/>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firstLine="0"/>
        <w:jc w:val="both"/>
        <w:rPr>
          <w:iCs/>
          <w:sz w:val="16"/>
          <w:szCs w:val="16"/>
        </w:rPr>
      </w:pP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firstLine="0"/>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spacing w:before="0" w:after="200"/>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16"/>
          <w:szCs w:val="16"/>
        </w:rPr>
      </w:pPr>
    </w:p>
    <w:p>
      <w:pPr>
        <w:numPr>
          <w:ilvl w:val="0"/>
          <w:numId w:val="31"/>
        </w:numPr>
        <w:overflowPunct/>
        <w:spacing w:before="0"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31"/>
        </w:numPr>
        <w:overflowPunct/>
        <w:spacing w:before="0"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spacing w:before="0" w:after="200"/>
        <w:ind w:left="567" w:hanging="567"/>
        <w:contextualSpacing/>
        <w:jc w:val="both"/>
        <w:rPr>
          <w:rFonts w:eastAsia="Batang"/>
          <w:bCs/>
          <w:sz w:val="24"/>
          <w:szCs w:val="24"/>
        </w:rPr>
      </w:pPr>
    </w:p>
    <w:p>
      <w:pPr>
        <w:spacing w:before="0" w:after="200"/>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16"/>
          <w:szCs w:val="16"/>
        </w:rPr>
      </w:pPr>
    </w:p>
    <w:p>
      <w:pPr>
        <w:spacing w:before="0" w:after="200"/>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spacing w:before="0" w:after="200"/>
        <w:ind w:left="567" w:hanging="567"/>
        <w:contextualSpacing/>
        <w:jc w:val="both"/>
        <w:rPr>
          <w:iCs/>
          <w:sz w:val="24"/>
          <w:szCs w:val="24"/>
        </w:rPr>
      </w:pPr>
    </w:p>
    <w:p>
      <w:pPr>
        <w:keepNext/>
        <w:keepLines/>
        <w:widowControl w:val="0"/>
        <w:tabs>
          <w:tab w:val="left" w:pos="-4962"/>
        </w:tabs>
        <w:spacing w:before="20" w:after="20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after="20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before="0" w:after="0"/>
        <w:ind w:left="567" w:right="-1" w:firstLine="0"/>
        <w:jc w:val="both"/>
        <w:rPr>
          <w:b/>
          <w:bCs/>
          <w:sz w:val="24"/>
          <w:szCs w:val="24"/>
        </w:rPr>
      </w:pPr>
      <w:r>
        <w:rPr>
          <w:b/>
          <w:bCs/>
          <w:sz w:val="24"/>
          <w:szCs w:val="24"/>
        </w:rPr>
        <w:t>Ao Presidente da Comissão Permanente de Licitação</w:t>
      </w:r>
    </w:p>
    <w:p>
      <w:pPr>
        <w:spacing w:before="0" w:after="0"/>
        <w:ind w:left="567" w:right="-1" w:firstLine="0"/>
        <w:jc w:val="both"/>
        <w:rPr>
          <w:b/>
          <w:bCs/>
          <w:sz w:val="24"/>
          <w:szCs w:val="24"/>
        </w:rPr>
      </w:pPr>
      <w:r>
        <w:rPr>
          <w:b/>
          <w:bCs/>
          <w:sz w:val="24"/>
          <w:szCs w:val="24"/>
        </w:rPr>
        <w:t>Prefeitura Municipal de Naviraí - MS</w:t>
      </w:r>
    </w:p>
    <w:p>
      <w:pPr>
        <w:spacing w:before="0" w:after="0"/>
        <w:ind w:left="567" w:right="-1" w:firstLine="0"/>
        <w:jc w:val="both"/>
        <w:rPr>
          <w:rFonts w:hint="default"/>
          <w:b/>
          <w:bCs/>
          <w:sz w:val="24"/>
          <w:szCs w:val="24"/>
          <w:lang w:val="pt-BR"/>
        </w:rPr>
      </w:pPr>
      <w:r>
        <w:rPr>
          <w:rFonts w:hint="default"/>
          <w:b/>
          <w:bCs/>
          <w:sz w:val="24"/>
          <w:szCs w:val="24"/>
          <w:lang w:val="pt-BR"/>
        </w:rPr>
        <w:t>Avenida Weimar Gonçalves Torres, nº 862</w:t>
      </w:r>
    </w:p>
    <w:p>
      <w:pPr>
        <w:spacing w:before="0" w:after="0"/>
        <w:ind w:left="567" w:right="-1" w:firstLine="0"/>
        <w:jc w:val="both"/>
        <w:rPr>
          <w:b/>
          <w:bCs/>
          <w:sz w:val="24"/>
          <w:szCs w:val="24"/>
        </w:rPr>
      </w:pPr>
      <w:r>
        <w:rPr>
          <w:b/>
          <w:bCs/>
          <w:sz w:val="24"/>
          <w:szCs w:val="24"/>
        </w:rPr>
        <w:t>Centro – CEP 79950-000</w:t>
      </w:r>
    </w:p>
    <w:p>
      <w:pPr>
        <w:spacing w:before="0" w:after="0"/>
        <w:ind w:left="567" w:right="-1" w:firstLine="0"/>
        <w:jc w:val="both"/>
        <w:rPr>
          <w:b/>
          <w:bCs/>
          <w:sz w:val="24"/>
          <w:szCs w:val="24"/>
        </w:rPr>
      </w:pPr>
      <w:r>
        <w:rPr>
          <w:b/>
          <w:bCs/>
          <w:sz w:val="24"/>
          <w:szCs w:val="24"/>
        </w:rPr>
        <w:t>Naviraí/MS</w:t>
      </w:r>
    </w:p>
    <w:p>
      <w:pPr>
        <w:spacing w:before="0" w:after="0"/>
        <w:ind w:left="567" w:right="-1" w:firstLine="0"/>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firstLine="0"/>
        <w:jc w:val="both"/>
        <w:rPr>
          <w:bCs/>
          <w:iCs/>
          <w:sz w:val="24"/>
          <w:szCs w:val="24"/>
        </w:rPr>
      </w:pPr>
    </w:p>
    <w:p>
      <w:pPr>
        <w:tabs>
          <w:tab w:val="left" w:pos="-5670"/>
        </w:tabs>
        <w:ind w:left="567" w:right="-1" w:firstLine="0"/>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\h </w:instrText>
      </w:r>
      <w:r>
        <w:fldChar w:fldCharType="separate"/>
      </w:r>
      <w:r>
        <w:rPr>
          <w:rStyle w:val="35"/>
          <w:bCs/>
          <w:iCs/>
          <w:sz w:val="24"/>
          <w:szCs w:val="24"/>
        </w:rPr>
        <w:t>https://www.navirai.ms.gov.br/licitacoes</w:t>
      </w:r>
      <w:r>
        <w:rPr>
          <w:rStyle w:val="35"/>
          <w:bCs/>
          <w:iCs/>
          <w:sz w:val="24"/>
          <w:szCs w:val="24"/>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 xml:space="preserve">Resumo </w:t>
      </w:r>
      <w:r>
        <w:rPr>
          <w:rFonts w:hint="default"/>
          <w:bCs/>
          <w:iCs/>
          <w:sz w:val="24"/>
          <w:szCs w:val="24"/>
          <w:lang w:val="pt-BR"/>
        </w:rPr>
        <w:t>Geral da</w:t>
      </w:r>
      <w:r>
        <w:rPr>
          <w:bCs/>
          <w:iCs/>
          <w:sz w:val="24"/>
          <w:szCs w:val="24"/>
          <w:lang w:val="pt-BR"/>
        </w:rPr>
        <w:t xml:space="preserve"> </w:t>
      </w:r>
      <w:r>
        <w:rPr>
          <w:rFonts w:hint="default"/>
          <w:bCs/>
          <w:iCs/>
          <w:sz w:val="24"/>
          <w:szCs w:val="24"/>
          <w:lang w:val="pt-BR"/>
        </w:rPr>
        <w:t>Obra</w:t>
      </w:r>
      <w:r>
        <w:rPr>
          <w:bCs/>
          <w:iCs/>
          <w:sz w:val="24"/>
          <w:szCs w:val="24"/>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 xml:space="preserve"> </w:t>
      </w:r>
      <w:r>
        <w:rPr>
          <w:bCs/>
          <w:iCs/>
          <w:sz w:val="24"/>
          <w:szCs w:val="24"/>
          <w:lang w:val="pt-BR"/>
        </w:rPr>
        <w:t>Cronograma Físico Financeiro;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Quadro de 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Dimensionamento do Pavimento;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Mem</w:t>
      </w:r>
      <w:r>
        <w:rPr>
          <w:rFonts w:hint="default"/>
          <w:bCs/>
          <w:iCs/>
          <w:sz w:val="24"/>
          <w:szCs w:val="24"/>
          <w:lang w:val="pt-BR"/>
        </w:rPr>
        <w:t>orial Descritivo;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Memória de Cálculo - Drenagem;</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de Projeto, Orçamento e Fiscalização nº 1320220015287;</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Projeto</w:t>
      </w:r>
    </w:p>
    <w:p>
      <w:pPr>
        <w:numPr>
          <w:ilvl w:val="0"/>
          <w:numId w:val="0"/>
        </w:numPr>
        <w:tabs>
          <w:tab w:val="left" w:pos="-4962"/>
          <w:tab w:val="left" w:pos="786"/>
        </w:tabs>
        <w:overflowPunct/>
        <w:spacing w:before="0" w:after="0" w:line="240" w:lineRule="auto"/>
        <w:ind w:left="567" w:right="-1" w:firstLine="0"/>
        <w:jc w:val="both"/>
        <w:textAlignment w:val="baseline"/>
        <w:rPr>
          <w:sz w:val="24"/>
          <w:szCs w:val="24"/>
        </w:rPr>
      </w:pPr>
    </w:p>
    <w:p>
      <w:pPr>
        <w:ind w:right="-1" w:firstLine="0"/>
        <w:jc w:val="both"/>
        <w:rPr>
          <w:sz w:val="24"/>
          <w:szCs w:val="24"/>
        </w:rPr>
      </w:pPr>
      <w:r>
        <w:rPr>
          <w:sz w:val="24"/>
          <w:szCs w:val="24"/>
        </w:rPr>
        <w:t xml:space="preserve"> Eu, Jaqueline Maria Garcia Mascioli, Servidora Pública Municipal, digitei-o presente edital com autorização do ordenador de despesas, e eu, </w:t>
      </w:r>
      <w:r>
        <w:rPr>
          <w:rFonts w:hint="default"/>
          <w:sz w:val="24"/>
          <w:szCs w:val="24"/>
          <w:lang w:val="pt-BR"/>
        </w:rPr>
        <w:t>Viviane Ribeiro Bogarim Capilé</w:t>
      </w:r>
      <w:r>
        <w:rPr>
          <w:sz w:val="24"/>
          <w:szCs w:val="24"/>
        </w:rPr>
        <w:t>, Gerente de Finanças conforme Decreto nº. 0</w:t>
      </w:r>
      <w:r>
        <w:rPr>
          <w:rFonts w:hint="default"/>
          <w:sz w:val="24"/>
          <w:szCs w:val="24"/>
          <w:lang w:val="pt-BR"/>
        </w:rPr>
        <w:t>35</w:t>
      </w:r>
      <w:r>
        <w:rPr>
          <w:sz w:val="24"/>
          <w:szCs w:val="24"/>
        </w:rPr>
        <w:t>/202</w:t>
      </w:r>
      <w:r>
        <w:rPr>
          <w:rFonts w:hint="default"/>
          <w:sz w:val="24"/>
          <w:szCs w:val="24"/>
          <w:lang w:val="pt-BR"/>
        </w:rPr>
        <w:t>2</w:t>
      </w:r>
      <w:r>
        <w:rPr>
          <w:sz w:val="24"/>
          <w:szCs w:val="24"/>
        </w:rPr>
        <w:t>, conferi-o e a subscrevi.</w:t>
      </w:r>
    </w:p>
    <w:p>
      <w:pPr>
        <w:tabs>
          <w:tab w:val="left" w:pos="-1800"/>
        </w:tabs>
        <w:overflowPunct/>
        <w:spacing w:before="0" w:after="0" w:line="240" w:lineRule="auto"/>
        <w:textAlignment w:val="baseline"/>
        <w:rPr>
          <w:rFonts w:eastAsia="Times New Roman"/>
          <w:sz w:val="21"/>
          <w:szCs w:val="21"/>
          <w:lang w:eastAsia="pt-BR"/>
        </w:rPr>
      </w:pPr>
    </w:p>
    <w:p>
      <w:pPr>
        <w:overflowPunct/>
        <w:spacing w:before="0"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spacing w:before="0"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spacing w:before="0" w:after="0" w:line="240" w:lineRule="auto"/>
        <w:jc w:val="center"/>
        <w:textAlignment w:val="baseline"/>
        <w:rPr>
          <w:rFonts w:eastAsia="Times New Roman"/>
          <w:b/>
          <w:color w:val="000000"/>
          <w:sz w:val="22"/>
          <w:lang w:eastAsia="pt-BR"/>
        </w:rPr>
      </w:pPr>
    </w:p>
    <w:p>
      <w:pPr>
        <w:overflowPunct/>
        <w:spacing w:before="0" w:after="0" w:line="240" w:lineRule="auto"/>
        <w:ind w:left="142" w:firstLine="0"/>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04</w:t>
      </w:r>
      <w:r>
        <w:rPr>
          <w:rFonts w:eastAsia="Times New Roman"/>
          <w:iCs/>
          <w:sz w:val="22"/>
          <w:lang w:eastAsia="pt-BR"/>
        </w:rPr>
        <w:t xml:space="preserve"> de </w:t>
      </w:r>
      <w:r>
        <w:rPr>
          <w:rFonts w:hint="default" w:eastAsia="Times New Roman"/>
          <w:iCs/>
          <w:sz w:val="22"/>
          <w:lang w:val="en-US" w:eastAsia="pt-BR"/>
        </w:rPr>
        <w:t>abril</w:t>
      </w:r>
      <w:r>
        <w:rPr>
          <w:rFonts w:eastAsia="Times New Roman"/>
          <w:iCs/>
          <w:sz w:val="22"/>
          <w:lang w:eastAsia="pt-BR"/>
        </w:rPr>
        <w:t xml:space="preserve"> de 202</w:t>
      </w:r>
      <w:r>
        <w:rPr>
          <w:rFonts w:hint="default" w:eastAsia="Times New Roman"/>
          <w:iCs/>
          <w:sz w:val="22"/>
          <w:lang w:val="en-US" w:eastAsia="pt-BR"/>
        </w:rPr>
        <w:t>2</w:t>
      </w:r>
      <w:r>
        <w:rPr>
          <w:rFonts w:eastAsia="Times New Roman"/>
          <w:iCs/>
          <w:sz w:val="22"/>
          <w:lang w:eastAsia="pt-BR"/>
        </w:rPr>
        <w:t>.</w:t>
      </w:r>
    </w:p>
    <w:p>
      <w:pPr>
        <w:tabs>
          <w:tab w:val="left" w:pos="-1800"/>
        </w:tabs>
        <w:overflowPunct/>
        <w:spacing w:before="0" w:after="0" w:line="240" w:lineRule="auto"/>
        <w:jc w:val="center"/>
        <w:textAlignment w:val="baseline"/>
        <w:rPr>
          <w:rFonts w:eastAsia="Times New Roman"/>
          <w:b/>
          <w:bCs/>
          <w:color w:val="000000"/>
          <w:sz w:val="22"/>
          <w:lang w:eastAsia="pt-BR"/>
        </w:rPr>
      </w:pPr>
    </w:p>
    <w:p>
      <w:pPr>
        <w:tabs>
          <w:tab w:val="left" w:pos="-1800"/>
        </w:tabs>
        <w:overflowPunct/>
        <w:spacing w:before="0" w:after="0" w:line="240" w:lineRule="auto"/>
        <w:jc w:val="center"/>
        <w:textAlignment w:val="baseline"/>
        <w:rPr>
          <w:rFonts w:eastAsia="Times New Roman"/>
          <w:b/>
          <w:bCs/>
          <w:color w:val="000000"/>
          <w:sz w:val="22"/>
          <w:lang w:eastAsia="pt-BR"/>
        </w:rPr>
      </w:pPr>
      <w:r>
        <w:rPr>
          <w:rFonts w:hint="default" w:eastAsia="Times New Roman"/>
          <w:b/>
          <w:bCs/>
          <w:color w:val="000000"/>
          <w:sz w:val="22"/>
          <w:lang w:eastAsia="pt-BR"/>
        </w:rPr>
        <w:t>Viviane Ribeiro Bogarim Capilé</w:t>
      </w:r>
    </w:p>
    <w:p>
      <w:pPr>
        <w:tabs>
          <w:tab w:val="left" w:pos="-1800"/>
        </w:tabs>
        <w:overflowPunct/>
        <w:spacing w:before="0"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spacing w:before="0" w:after="0" w:line="240" w:lineRule="auto"/>
        <w:jc w:val="center"/>
        <w:textAlignment w:val="baseline"/>
        <w:rPr>
          <w:rFonts w:hint="default" w:eastAsia="Times New Roman"/>
          <w:sz w:val="21"/>
          <w:szCs w:val="21"/>
          <w:lang w:val="en-US" w:eastAsia="pt-BR"/>
        </w:rPr>
      </w:pPr>
      <w:r>
        <w:rPr>
          <w:rFonts w:eastAsia="Times New Roman"/>
          <w:bCs/>
          <w:color w:val="000000"/>
          <w:sz w:val="22"/>
          <w:lang w:eastAsia="pt-BR"/>
        </w:rPr>
        <w:t>Conforme Decreto nº 0</w:t>
      </w:r>
      <w:r>
        <w:rPr>
          <w:rFonts w:hint="default" w:eastAsia="Times New Roman"/>
          <w:bCs/>
          <w:color w:val="000000"/>
          <w:sz w:val="22"/>
          <w:lang w:val="en-US" w:eastAsia="pt-BR"/>
        </w:rPr>
        <w:t>35</w:t>
      </w:r>
      <w:r>
        <w:rPr>
          <w:rFonts w:eastAsia="Times New Roman"/>
          <w:bCs/>
          <w:color w:val="000000"/>
          <w:sz w:val="22"/>
          <w:lang w:eastAsia="pt-BR"/>
        </w:rPr>
        <w:t>/202</w:t>
      </w:r>
      <w:r>
        <w:rPr>
          <w:rFonts w:hint="default" w:eastAsia="Times New Roman"/>
          <w:bCs/>
          <w:color w:val="000000"/>
          <w:sz w:val="22"/>
          <w:lang w:val="en-US" w:eastAsia="pt-BR"/>
        </w:rPr>
        <w:t>2</w:t>
      </w:r>
    </w:p>
    <w:p>
      <w:pPr>
        <w:rPr>
          <w:rFonts w:eastAsia="Times New Roman"/>
          <w:b/>
          <w:iCs/>
          <w:sz w:val="21"/>
          <w:szCs w:val="21"/>
          <w:lang w:eastAsia="pt-BR"/>
        </w:rPr>
      </w:pPr>
      <w:r>
        <w:br w:type="page"/>
      </w:r>
      <w:bookmarkStart w:id="0" w:name="_GoBack"/>
      <w:bookmarkEnd w:id="0"/>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spacing w:before="20" w:after="0" w:line="240" w:lineRule="auto"/>
        <w:jc w:val="center"/>
        <w:textAlignment w:val="baseline"/>
        <w:rPr>
          <w:rFonts w:eastAsia="Times New Roman"/>
          <w:b/>
          <w:iCs/>
          <w:sz w:val="24"/>
          <w:szCs w:val="24"/>
          <w:lang w:eastAsia="pt-BR"/>
        </w:rPr>
      </w:pPr>
    </w:p>
    <w:p>
      <w:pPr>
        <w:keepNext/>
        <w:keepLines/>
        <w:widowControl w:val="0"/>
        <w:overflowPunct/>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spacing w:before="0"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 xml:space="preserve">CONTRATANTE: PREFEITURA DE NAVIRAÍ, Pessoa Jurídica de Direito Público Interno, com sede a </w:t>
      </w:r>
      <w:r>
        <w:rPr>
          <w:rFonts w:hint="default"/>
          <w:iCs/>
          <w:sz w:val="24"/>
          <w:szCs w:val="24"/>
          <w:lang w:val="pt-BR"/>
        </w:rPr>
        <w:t>Avenida Weimar Gonçalves Torres, nº 862</w:t>
      </w:r>
      <w:r>
        <w:rPr>
          <w:iCs/>
          <w:sz w:val="24"/>
          <w:szCs w:val="24"/>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4"/>
          <w:szCs w:val="24"/>
        </w:rPr>
      </w:pPr>
      <w:r>
        <w:rPr>
          <w:sz w:val="24"/>
          <w:szCs w:val="24"/>
        </w:rPr>
        <w:t>II -</w:t>
      </w:r>
      <w:r>
        <w:rPr>
          <w:sz w:val="24"/>
          <w:szCs w:val="24"/>
        </w:rPr>
        <w:tab/>
      </w:r>
      <w:r>
        <w:rPr>
          <w:sz w:val="24"/>
          <w:szCs w:val="24"/>
        </w:rPr>
        <w:t xml:space="preserve"> REPRESENTANTES: Representa a CONTRATANTE </w:t>
      </w:r>
      <w:r>
        <w:rPr>
          <w:rFonts w:hint="default"/>
          <w:b/>
          <w:bCs/>
          <w:sz w:val="24"/>
          <w:szCs w:val="24"/>
          <w:u w:val="single"/>
        </w:rPr>
        <w:t>Jorge Luis de Lúcia</w:t>
      </w:r>
      <w:r>
        <w:rPr>
          <w:rFonts w:hint="default"/>
          <w:sz w:val="24"/>
          <w:szCs w:val="24"/>
        </w:rPr>
        <w:t>, Gerente de Obras e Ordenador de Despesas conforme Decreto nº. 011/2021, brasileiro, portador do CPF/MF nº. 079.589.258-67 e Cédula de Identidade RG nº. 9.057.438 SSP/SP, residente nesta cidade, à Avenida Amélia Fukuda,  nº 1216 – Jardim Oasis</w:t>
      </w:r>
      <w:r>
        <w:rPr>
          <w:iCs/>
          <w:sz w:val="24"/>
          <w:szCs w:val="24"/>
        </w:rPr>
        <w:t xml:space="preserve">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b/>
          <w:sz w:val="24"/>
          <w:szCs w:val="24"/>
          <w:lang w:val="pt-BR"/>
        </w:rPr>
        <w:t>040/2022</w:t>
      </w:r>
      <w:r>
        <w:rPr>
          <w:sz w:val="24"/>
          <w:szCs w:val="24"/>
        </w:rPr>
        <w:t xml:space="preserve">, gerado pela </w:t>
      </w:r>
      <w:r>
        <w:rPr>
          <w:b/>
          <w:sz w:val="24"/>
          <w:szCs w:val="24"/>
        </w:rPr>
        <w:t xml:space="preserve">Tomada de Preços nº. </w:t>
      </w:r>
      <w:r>
        <w:rPr>
          <w:b/>
          <w:sz w:val="24"/>
          <w:szCs w:val="24"/>
          <w:lang w:val="pt-BR"/>
        </w:rPr>
        <w:t>003/2022</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after="200"/>
        <w:jc w:val="both"/>
        <w:rPr>
          <w:b/>
          <w:iCs/>
          <w:sz w:val="24"/>
          <w:szCs w:val="24"/>
        </w:rPr>
      </w:pPr>
      <w:r>
        <w:rPr>
          <w:b/>
          <w:iCs/>
          <w:sz w:val="24"/>
          <w:szCs w:val="24"/>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4"/>
          <w:szCs w:val="24"/>
        </w:rPr>
      </w:pPr>
      <w:r>
        <w:rPr>
          <w:bCs/>
          <w:sz w:val="24"/>
          <w:szCs w:val="24"/>
        </w:rPr>
        <w:t>1.1 Constitui</w:t>
      </w:r>
      <w:r>
        <w:rPr>
          <w:sz w:val="24"/>
          <w:szCs w:val="24"/>
        </w:rPr>
        <w:t xml:space="preserve"> objeto deste Contrato a</w:t>
      </w:r>
      <w:r>
        <w:rPr>
          <w:rFonts w:hint="default"/>
          <w:sz w:val="24"/>
          <w:szCs w:val="24"/>
          <w:lang w:val="pt-BR"/>
        </w:rPr>
        <w:t xml:space="preserve"> </w:t>
      </w:r>
      <w:r>
        <w:rPr>
          <w:b/>
          <w:iCs/>
          <w:sz w:val="22"/>
          <w:szCs w:val="22"/>
        </w:rPr>
        <w:t>CONTRATAÇÃO DE EMPRESA ESPECIALIZADA PARA EXECUÇÃO DA OBRA DE PAVIMENTAÇÃO ASFÁLTICA COM GUIAS E SARJETAS E DRENAGEM DE ÁGUAS PLUVIAIS DA RUA LATERAL DO PARQUE CUMANDAÍ, LOCALIZADA NO MUNICÍPIO DE NAVIRAÍ/MS. SOLICITAÇ</w:t>
      </w:r>
      <w:r>
        <w:rPr>
          <w:rFonts w:hint="default"/>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PEDIDO DE SERVIÇO Nº 080/2022</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b/>
          <w:bCs/>
          <w:iCs/>
          <w:sz w:val="24"/>
          <w:szCs w:val="24"/>
          <w:lang w:val="pt-BR"/>
        </w:rPr>
        <w:t>040/2022</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003/2022</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after="200"/>
        <w:jc w:val="both"/>
        <w:rPr>
          <w:b/>
          <w:iCs/>
          <w:sz w:val="24"/>
          <w:szCs w:val="24"/>
        </w:rPr>
      </w:pPr>
      <w:r>
        <w:rPr>
          <w:b/>
          <w:iCs/>
          <w:sz w:val="24"/>
          <w:szCs w:val="24"/>
        </w:rPr>
        <w:t>CLÁUSULA SEGUNDA – REGIME DE EXECUÇÃO</w:t>
      </w:r>
    </w:p>
    <w:p>
      <w:pPr>
        <w:overflowPunct/>
        <w:spacing w:before="0"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numPr>
          <w:ilvl w:val="0"/>
          <w:numId w:val="0"/>
        </w:numPr>
        <w:ind w:right="-289" w:firstLine="0"/>
        <w:jc w:val="both"/>
        <w:outlineLvl w:val="6"/>
        <w:rPr>
          <w:iCs/>
          <w:sz w:val="24"/>
          <w:szCs w:val="24"/>
          <w:u w:val="single"/>
        </w:rPr>
      </w:pPr>
    </w:p>
    <w:p>
      <w:pPr>
        <w:keepNext/>
        <w:keepLines/>
        <w:widowControl w:val="0"/>
        <w:spacing w:before="20" w:after="200"/>
        <w:jc w:val="both"/>
        <w:rPr>
          <w:b/>
          <w:iCs/>
          <w:sz w:val="24"/>
          <w:szCs w:val="24"/>
        </w:rPr>
      </w:pPr>
      <w:r>
        <w:rPr>
          <w:b/>
          <w:iCs/>
          <w:sz w:val="24"/>
          <w:szCs w:val="24"/>
        </w:rPr>
        <w:t>CLÁUSULA TERCEIRA – DO VALOR CONTRATUAL</w:t>
      </w:r>
    </w:p>
    <w:p>
      <w:pPr>
        <w:overflowPunct/>
        <w:spacing w:before="0"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after="200"/>
        <w:jc w:val="both"/>
        <w:rPr>
          <w:b/>
          <w:iCs/>
          <w:sz w:val="24"/>
          <w:szCs w:val="24"/>
        </w:rPr>
      </w:pPr>
      <w:r>
        <w:rPr>
          <w:b/>
          <w:iCs/>
          <w:sz w:val="24"/>
          <w:szCs w:val="24"/>
        </w:rPr>
        <w:t>CLÁUSULA QUARTA – DA CAUÇÃO</w:t>
      </w:r>
    </w:p>
    <w:p>
      <w:pPr>
        <w:overflowPunct/>
        <w:spacing w:before="0"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A Caução poderá ser realizada através de:</w:t>
      </w:r>
    </w:p>
    <w:p>
      <w:pPr>
        <w:numPr>
          <w:ilvl w:val="0"/>
          <w:numId w:val="35"/>
        </w:numPr>
        <w:spacing w:before="0" w:after="0" w:line="240" w:lineRule="auto"/>
        <w:ind w:left="567" w:hanging="360"/>
        <w:jc w:val="both"/>
        <w:rPr>
          <w:iCs/>
          <w:sz w:val="24"/>
          <w:szCs w:val="24"/>
        </w:rPr>
      </w:pPr>
      <w:r>
        <w:rPr>
          <w:iCs/>
          <w:sz w:val="24"/>
          <w:szCs w:val="24"/>
        </w:rPr>
        <w:t>Caução em dinheiro ou títulos da divida Publica;</w:t>
      </w:r>
    </w:p>
    <w:p>
      <w:pPr>
        <w:numPr>
          <w:ilvl w:val="0"/>
          <w:numId w:val="35"/>
        </w:numPr>
        <w:spacing w:before="0" w:after="0" w:line="240" w:lineRule="auto"/>
        <w:ind w:left="567" w:hanging="360"/>
        <w:jc w:val="both"/>
        <w:rPr>
          <w:iCs/>
          <w:sz w:val="24"/>
          <w:szCs w:val="24"/>
        </w:rPr>
      </w:pPr>
      <w:r>
        <w:rPr>
          <w:iCs/>
          <w:sz w:val="24"/>
          <w:szCs w:val="24"/>
        </w:rPr>
        <w:t>Seguro-garantia;</w:t>
      </w:r>
    </w:p>
    <w:p>
      <w:pPr>
        <w:numPr>
          <w:ilvl w:val="0"/>
          <w:numId w:val="35"/>
        </w:numPr>
        <w:spacing w:before="0" w:after="0" w:line="240" w:lineRule="auto"/>
        <w:ind w:left="567" w:hanging="360"/>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34"/>
        </w:numPr>
        <w:overflowPunct/>
        <w:spacing w:before="0"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16"/>
          <w:szCs w:val="16"/>
        </w:rPr>
      </w:pPr>
    </w:p>
    <w:p>
      <w:pPr>
        <w:numPr>
          <w:ilvl w:val="1"/>
          <w:numId w:val="34"/>
        </w:numPr>
        <w:overflowPunct/>
        <w:spacing w:before="0"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firstLine="0"/>
        <w:jc w:val="both"/>
        <w:rPr>
          <w:sz w:val="16"/>
          <w:szCs w:val="16"/>
        </w:rPr>
      </w:pPr>
    </w:p>
    <w:p>
      <w:pPr>
        <w:keepNext/>
        <w:keepLines/>
        <w:widowControl w:val="0"/>
        <w:spacing w:before="20" w:after="200"/>
        <w:jc w:val="both"/>
        <w:rPr>
          <w:b/>
          <w:iCs/>
          <w:sz w:val="24"/>
          <w:szCs w:val="24"/>
        </w:rPr>
      </w:pPr>
      <w:r>
        <w:rPr>
          <w:b/>
          <w:iCs/>
          <w:sz w:val="24"/>
          <w:szCs w:val="24"/>
        </w:rPr>
        <w:t>CLÁUSULA QUINTA – DOS PREÇOS E DO REAJUSTE</w:t>
      </w:r>
    </w:p>
    <w:p>
      <w:pPr>
        <w:spacing w:before="0"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4"/>
          <w:szCs w:val="24"/>
        </w:rPr>
      </w:pPr>
      <w:r>
        <w:rPr>
          <w:b/>
          <w:iCs/>
          <w:sz w:val="24"/>
          <w:szCs w:val="24"/>
        </w:rPr>
        <w:t>CLÁUSULA SEXTA – DAS MEDIÇÕES, PAGAMENTOS E RECEBIMENTO DOS SERVIÇOS.</w:t>
      </w:r>
    </w:p>
    <w:p>
      <w:pPr>
        <w:overflowPunct/>
        <w:spacing w:before="0"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Executados os serviços, o seu objeto será recebido:</w:t>
      </w:r>
    </w:p>
    <w:p>
      <w:pPr>
        <w:ind w:left="142"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16"/>
          <w:szCs w:val="16"/>
        </w:rPr>
      </w:pPr>
    </w:p>
    <w:p>
      <w:pPr>
        <w:numPr>
          <w:ilvl w:val="1"/>
          <w:numId w:val="36"/>
        </w:numPr>
        <w:overflowPunct/>
        <w:spacing w:before="0"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firstLine="0"/>
        <w:jc w:val="both"/>
        <w:rPr>
          <w:b/>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numPr>
          <w:ilvl w:val="0"/>
          <w:numId w:val="0"/>
        </w:numPr>
        <w:ind w:right="-289" w:firstLine="0"/>
        <w:jc w:val="both"/>
        <w:outlineLvl w:val="5"/>
        <w:rPr>
          <w:b/>
          <w:iCs/>
          <w:sz w:val="24"/>
          <w:szCs w:val="24"/>
        </w:rPr>
      </w:pPr>
    </w:p>
    <w:p>
      <w:pPr>
        <w:keepNext/>
        <w:keepLines/>
        <w:widowControl w:val="0"/>
        <w:spacing w:before="20" w:after="200"/>
        <w:jc w:val="both"/>
        <w:rPr>
          <w:b/>
          <w:iCs/>
          <w:sz w:val="24"/>
          <w:szCs w:val="24"/>
        </w:rPr>
      </w:pPr>
      <w:r>
        <w:rPr>
          <w:b/>
          <w:iCs/>
          <w:sz w:val="24"/>
          <w:szCs w:val="24"/>
        </w:rPr>
        <w:t>CLÁUSULA SÉTIMA – DOTAÇÃO ORÇAMENTÁRIA</w:t>
      </w:r>
    </w:p>
    <w:p>
      <w:pPr>
        <w:tabs>
          <w:tab w:val="left" w:pos="2346"/>
        </w:tabs>
        <w:overflowPunct/>
        <w:spacing w:before="0" w:after="0" w:line="240" w:lineRule="auto"/>
        <w:ind w:left="709" w:right="-1" w:hanging="709"/>
        <w:jc w:val="both"/>
        <w:textAlignment w:val="baseline"/>
        <w:rPr>
          <w:iCs/>
          <w:sz w:val="24"/>
          <w:szCs w:val="24"/>
          <w:lang w:eastAsia="pt-BR"/>
        </w:rPr>
      </w:pPr>
      <w:r>
        <w:rPr>
          <w:iCs/>
          <w:sz w:val="24"/>
          <w:szCs w:val="24"/>
        </w:rPr>
        <w:t xml:space="preserve">7.1 </w:t>
      </w:r>
      <w:r>
        <w:rPr>
          <w:rFonts w:hint="default"/>
          <w:iCs/>
          <w:sz w:val="24"/>
          <w:szCs w:val="24"/>
          <w:lang w:val="pt-BR"/>
        </w:rPr>
        <w:t xml:space="preserve">      </w:t>
      </w:r>
      <w:r>
        <w:rPr>
          <w:iCs/>
          <w:sz w:val="24"/>
          <w:szCs w:val="24"/>
          <w:lang w:eastAsia="pt-BR"/>
        </w:rPr>
        <w:t>Os recursos financeiros para o cumprimento das obrigações constantes neste edital serão oriundos do</w:t>
      </w:r>
      <w:r>
        <w:rPr>
          <w:rFonts w:hint="default"/>
          <w:iCs/>
          <w:sz w:val="24"/>
          <w:szCs w:val="24"/>
          <w:lang w:val="en-US" w:eastAsia="pt-BR"/>
        </w:rPr>
        <w:t xml:space="preserve"> </w:t>
      </w:r>
      <w:r>
        <w:rPr>
          <w:iCs/>
          <w:sz w:val="24"/>
          <w:szCs w:val="24"/>
          <w:lang w:eastAsia="pt-BR"/>
        </w:rPr>
        <w:t xml:space="preserve">saldo </w:t>
      </w:r>
      <w:r>
        <w:rPr>
          <w:iCs/>
          <w:sz w:val="24"/>
          <w:szCs w:val="24"/>
          <w:lang w:val="en-US" w:eastAsia="pt-BR"/>
        </w:rPr>
        <w:t>de Recursos Próprios d</w:t>
      </w:r>
      <w:r>
        <w:rPr>
          <w:rFonts w:hint="default"/>
          <w:iCs/>
          <w:sz w:val="24"/>
          <w:szCs w:val="24"/>
          <w:lang w:val="en-US" w:eastAsia="pt-BR"/>
        </w:rPr>
        <w:t>a Gerência de Esporte e Lazer</w:t>
      </w:r>
      <w:r>
        <w:rPr>
          <w:iCs/>
          <w:sz w:val="24"/>
          <w:szCs w:val="24"/>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26"/>
        </w:numPr>
        <w:tabs>
          <w:tab w:val="left" w:pos="-7088"/>
        </w:tabs>
        <w:overflowPunct/>
        <w:spacing w:before="0" w:after="0" w:line="240" w:lineRule="auto"/>
        <w:ind w:left="613" w:leftChars="0" w:right="-1" w:firstLine="80" w:firstLineChars="0"/>
        <w:jc w:val="both"/>
        <w:textAlignment w:val="baseline"/>
        <w:rPr>
          <w:rFonts w:eastAsia="Times New Roman"/>
          <w:b/>
          <w:iCs/>
          <w:sz w:val="24"/>
          <w:szCs w:val="24"/>
          <w:lang w:val="en-US" w:eastAsia="pt-BR"/>
        </w:rPr>
      </w:pPr>
      <w:r>
        <w:rPr>
          <w:rFonts w:hint="default" w:eastAsia="Times New Roman"/>
          <w:b/>
          <w:iCs/>
          <w:sz w:val="24"/>
          <w:szCs w:val="24"/>
          <w:lang w:val="en-US" w:eastAsia="pt-BR"/>
        </w:rPr>
        <w:t>GERÊNCIA DE OBRAS – DOTAÇÕES ORÇAMENTÁRIAS: 01.04.15.451.0401.1.005-44.920.51.00.00.00 (R 11680) e 01.04.15.451.0401.1.005-44.90.51.00.00.00 (R 4367).</w:t>
      </w:r>
    </w:p>
    <w:p>
      <w:pPr>
        <w:keepNext/>
        <w:keepLines/>
        <w:widowControl w:val="0"/>
        <w:spacing w:before="20" w:after="200"/>
        <w:jc w:val="both"/>
        <w:rPr>
          <w:b/>
          <w:iCs/>
          <w:sz w:val="24"/>
          <w:szCs w:val="24"/>
        </w:rPr>
      </w:pPr>
    </w:p>
    <w:p>
      <w:pPr>
        <w:keepNext/>
        <w:keepLines/>
        <w:widowControl w:val="0"/>
        <w:spacing w:before="20" w:after="200"/>
        <w:jc w:val="both"/>
        <w:rPr>
          <w:b/>
          <w:iCs/>
          <w:sz w:val="24"/>
          <w:szCs w:val="24"/>
        </w:rPr>
      </w:pPr>
      <w:r>
        <w:rPr>
          <w:b/>
          <w:iCs/>
          <w:sz w:val="24"/>
          <w:szCs w:val="24"/>
        </w:rPr>
        <w:t>CLÁUSULA OITAVA – DOS PRAZOS</w:t>
      </w:r>
    </w:p>
    <w:p>
      <w:pPr>
        <w:overflowPunct/>
        <w:spacing w:before="0"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rFonts w:hint="default"/>
          <w:b/>
          <w:bCs/>
          <w:sz w:val="24"/>
          <w:szCs w:val="24"/>
          <w:lang w:val="pt-BR"/>
        </w:rPr>
        <w:t>150</w:t>
      </w:r>
      <w:r>
        <w:rPr>
          <w:b/>
          <w:sz w:val="24"/>
          <w:szCs w:val="24"/>
        </w:rPr>
        <w:t xml:space="preserve"> (</w:t>
      </w:r>
      <w:r>
        <w:rPr>
          <w:rFonts w:hint="default"/>
          <w:b/>
          <w:sz w:val="24"/>
          <w:szCs w:val="24"/>
          <w:lang w:val="pt-BR"/>
        </w:rPr>
        <w:t>cento e cinquenta</w:t>
      </w:r>
      <w:r>
        <w:rPr>
          <w:b/>
          <w:sz w:val="24"/>
          <w:szCs w:val="24"/>
        </w:rPr>
        <w:t xml:space="preserve">) </w:t>
      </w:r>
      <w:r>
        <w:rPr>
          <w:sz w:val="24"/>
          <w:szCs w:val="24"/>
        </w:rPr>
        <w:t>dias contados a partir da data do recebimento da Ordem de Serviços.</w:t>
      </w:r>
    </w:p>
    <w:p>
      <w:pPr>
        <w:ind w:left="1134" w:firstLine="0"/>
        <w:jc w:val="both"/>
        <w:rPr>
          <w:sz w:val="24"/>
          <w:szCs w:val="24"/>
        </w:rPr>
      </w:pPr>
    </w:p>
    <w:p>
      <w:pPr>
        <w:numPr>
          <w:ilvl w:val="1"/>
          <w:numId w:val="38"/>
        </w:numPr>
        <w:overflowPunct/>
        <w:spacing w:before="0"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firstLine="0"/>
        <w:jc w:val="both"/>
        <w:rPr>
          <w:sz w:val="24"/>
          <w:szCs w:val="24"/>
        </w:rPr>
      </w:pPr>
    </w:p>
    <w:p>
      <w:pPr>
        <w:numPr>
          <w:ilvl w:val="1"/>
          <w:numId w:val="38"/>
        </w:numPr>
        <w:overflowPunct/>
        <w:spacing w:before="0"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4"/>
          <w:szCs w:val="24"/>
        </w:rPr>
      </w:pPr>
    </w:p>
    <w:p>
      <w:pPr>
        <w:numPr>
          <w:ilvl w:val="1"/>
          <w:numId w:val="38"/>
        </w:numPr>
        <w:overflowPunct/>
        <w:spacing w:before="0"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rFonts w:hint="default"/>
          <w:b/>
          <w:bCs/>
          <w:iCs/>
          <w:sz w:val="24"/>
          <w:szCs w:val="24"/>
          <w:lang w:val="pt-BR"/>
        </w:rPr>
        <w:t>210</w:t>
      </w:r>
      <w:r>
        <w:rPr>
          <w:b/>
          <w:sz w:val="24"/>
          <w:szCs w:val="24"/>
        </w:rPr>
        <w:t xml:space="preserve"> (</w:t>
      </w:r>
      <w:r>
        <w:rPr>
          <w:rFonts w:hint="default"/>
          <w:b/>
          <w:sz w:val="24"/>
          <w:szCs w:val="24"/>
          <w:lang w:val="pt-BR"/>
        </w:rPr>
        <w:t>duzentos e dez</w:t>
      </w:r>
      <w:r>
        <w:rPr>
          <w:b/>
          <w:sz w:val="24"/>
          <w:szCs w:val="24"/>
        </w:rPr>
        <w:t>)</w:t>
      </w:r>
      <w:r>
        <w:rPr>
          <w:iCs/>
          <w:sz w:val="24"/>
          <w:szCs w:val="24"/>
        </w:rPr>
        <w:t xml:space="preserve"> dias podendo ser prorrogado mediante acordo entre as partes e nos termos da Lei 8.666/93.</w:t>
      </w:r>
    </w:p>
    <w:p>
      <w:pPr>
        <w:ind w:left="142" w:firstLine="0"/>
        <w:jc w:val="both"/>
        <w:rPr>
          <w:sz w:val="24"/>
          <w:szCs w:val="24"/>
        </w:rPr>
      </w:pPr>
    </w:p>
    <w:p>
      <w:pPr>
        <w:keepNext/>
        <w:keepLines/>
        <w:widowControl w:val="0"/>
        <w:spacing w:before="20" w:after="200"/>
        <w:jc w:val="both"/>
        <w:rPr>
          <w:b/>
          <w:iCs/>
          <w:sz w:val="24"/>
          <w:szCs w:val="24"/>
        </w:rPr>
      </w:pPr>
      <w:r>
        <w:rPr>
          <w:b/>
          <w:iCs/>
          <w:sz w:val="24"/>
          <w:szCs w:val="24"/>
        </w:rPr>
        <w:t>CLÁUSULA NONA – DA EXECUÇÃO</w:t>
      </w:r>
    </w:p>
    <w:p>
      <w:pPr>
        <w:numPr>
          <w:ilvl w:val="1"/>
          <w:numId w:val="39"/>
        </w:numPr>
        <w:overflowPunct/>
        <w:spacing w:before="0"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firstLine="0"/>
        <w:jc w:val="both"/>
        <w:rPr>
          <w:sz w:val="24"/>
          <w:szCs w:val="24"/>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after="200"/>
        <w:jc w:val="both"/>
        <w:rPr>
          <w:b/>
          <w:iCs/>
          <w:sz w:val="24"/>
          <w:szCs w:val="24"/>
        </w:rPr>
      </w:pPr>
      <w:r>
        <w:rPr>
          <w:b/>
          <w:iCs/>
          <w:sz w:val="24"/>
          <w:szCs w:val="24"/>
        </w:rPr>
        <w:t>CLÁUSULA DÉCIMA - DAS OBRIGAÇÕES DA CONTRATADA</w:t>
      </w:r>
    </w:p>
    <w:p>
      <w:pPr>
        <w:numPr>
          <w:ilvl w:val="1"/>
          <w:numId w:val="40"/>
        </w:numPr>
        <w:overflowPunct/>
        <w:spacing w:before="0"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Atender as reclamações por parte do encarregado dos serviços;</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4"/>
          <w:szCs w:val="24"/>
        </w:rPr>
      </w:pPr>
    </w:p>
    <w:p>
      <w:pPr>
        <w:numPr>
          <w:ilvl w:val="1"/>
          <w:numId w:val="40"/>
        </w:numPr>
        <w:overflowPunct/>
        <w:spacing w:before="0"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4"/>
          <w:szCs w:val="24"/>
        </w:rPr>
      </w:pPr>
    </w:p>
    <w:p>
      <w:pPr>
        <w:numPr>
          <w:ilvl w:val="1"/>
          <w:numId w:val="40"/>
        </w:numPr>
        <w:overflowPunct/>
        <w:spacing w:before="0"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Aplicar-se-á em todos os casos, os dispositivos da Lei Federal nº. 8.666/93 e Alterações posteriores. </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after="200"/>
        <w:jc w:val="both"/>
        <w:rPr>
          <w:b/>
          <w:iCs/>
          <w:sz w:val="24"/>
          <w:szCs w:val="24"/>
        </w:rPr>
      </w:pPr>
      <w:r>
        <w:rPr>
          <w:b/>
          <w:iCs/>
          <w:sz w:val="24"/>
          <w:szCs w:val="24"/>
        </w:rPr>
        <w:t>CLÁUSULA DÉCIMA PRIMEIRA - DAS OBRIGAÇÕES DA CONTRATANTE</w:t>
      </w:r>
    </w:p>
    <w:p>
      <w:pPr>
        <w:numPr>
          <w:ilvl w:val="1"/>
          <w:numId w:val="41"/>
        </w:numPr>
        <w:overflowPunct/>
        <w:spacing w:before="0" w:after="0" w:line="240" w:lineRule="auto"/>
        <w:ind w:left="567" w:hanging="594"/>
        <w:jc w:val="both"/>
        <w:textAlignment w:val="baseline"/>
        <w:rPr>
          <w:sz w:val="24"/>
          <w:szCs w:val="24"/>
        </w:rPr>
      </w:pPr>
      <w:r>
        <w:rPr>
          <w:sz w:val="24"/>
          <w:szCs w:val="24"/>
        </w:rPr>
        <w:t xml:space="preserve">Cumprir com pontualidade, todos os compromissos financeiros assumidos com a </w:t>
      </w:r>
      <w:r>
        <w:rPr>
          <w:b/>
          <w:sz w:val="24"/>
          <w:szCs w:val="24"/>
        </w:rPr>
        <w:t>CONTRATADA.</w:t>
      </w:r>
    </w:p>
    <w:p>
      <w:pPr>
        <w:ind w:left="567" w:firstLine="0"/>
        <w:jc w:val="both"/>
        <w:rPr>
          <w:sz w:val="16"/>
          <w:szCs w:val="16"/>
        </w:rPr>
      </w:pPr>
    </w:p>
    <w:p>
      <w:pPr>
        <w:numPr>
          <w:ilvl w:val="1"/>
          <w:numId w:val="41"/>
        </w:numPr>
        <w:overflowPunct/>
        <w:spacing w:before="0" w:after="0" w:line="240" w:lineRule="auto"/>
        <w:ind w:left="567" w:hanging="594"/>
        <w:jc w:val="both"/>
        <w:textAlignment w:val="baseline"/>
        <w:rPr>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4"/>
          <w:szCs w:val="24"/>
        </w:rPr>
      </w:pPr>
    </w:p>
    <w:p>
      <w:pPr>
        <w:numPr>
          <w:ilvl w:val="1"/>
          <w:numId w:val="41"/>
        </w:numPr>
        <w:overflowPunct/>
        <w:spacing w:before="0" w:after="0" w:line="240" w:lineRule="auto"/>
        <w:ind w:left="567" w:hanging="594"/>
        <w:jc w:val="both"/>
        <w:textAlignment w:val="baseline"/>
        <w:rPr>
          <w:sz w:val="24"/>
          <w:szCs w:val="24"/>
        </w:rPr>
      </w:pPr>
      <w:r>
        <w:rPr>
          <w:color w:val="000000"/>
          <w:sz w:val="24"/>
          <w:szCs w:val="24"/>
        </w:rPr>
        <w:t>Notificar a CONTRATADA, por escrito e com antecedência legal, sobre multas, penalidades e quaisquer débitos incidentes de sua responsabilidade.</w:t>
      </w:r>
    </w:p>
    <w:p>
      <w:pPr>
        <w:ind w:left="567" w:firstLine="0"/>
        <w:jc w:val="both"/>
        <w:rPr>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42"/>
        </w:numPr>
        <w:overflowPunct/>
        <w:spacing w:before="0"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firstLine="0"/>
        <w:jc w:val="both"/>
        <w:rPr>
          <w:sz w:val="24"/>
          <w:szCs w:val="24"/>
        </w:rPr>
      </w:pPr>
    </w:p>
    <w:p>
      <w:pPr>
        <w:numPr>
          <w:ilvl w:val="0"/>
          <w:numId w:val="43"/>
        </w:numPr>
        <w:tabs>
          <w:tab w:val="left" w:pos="-5670"/>
        </w:tabs>
        <w:overflowPunct/>
        <w:spacing w:before="0" w:after="0" w:line="240" w:lineRule="auto"/>
        <w:ind w:left="567" w:hanging="360"/>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4"/>
          <w:szCs w:val="24"/>
        </w:rPr>
      </w:pPr>
    </w:p>
    <w:p>
      <w:pPr>
        <w:numPr>
          <w:ilvl w:val="0"/>
          <w:numId w:val="43"/>
        </w:numPr>
        <w:tabs>
          <w:tab w:val="left" w:pos="-5670"/>
        </w:tabs>
        <w:overflowPunct/>
        <w:spacing w:before="0" w:after="0" w:line="240" w:lineRule="auto"/>
        <w:ind w:left="567" w:hanging="360"/>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firstLine="0"/>
        <w:jc w:val="both"/>
        <w:rPr>
          <w:b/>
          <w:bCs/>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44"/>
        </w:numPr>
        <w:spacing w:before="0" w:after="0" w:line="240" w:lineRule="auto"/>
        <w:ind w:left="567" w:hanging="142"/>
        <w:jc w:val="both"/>
        <w:rPr>
          <w:sz w:val="24"/>
          <w:szCs w:val="24"/>
        </w:rPr>
      </w:pPr>
      <w:r>
        <w:rPr>
          <w:sz w:val="24"/>
          <w:szCs w:val="24"/>
        </w:rPr>
        <w:t>Advertência;</w:t>
      </w:r>
    </w:p>
    <w:p>
      <w:pPr>
        <w:numPr>
          <w:ilvl w:val="0"/>
          <w:numId w:val="0"/>
        </w:numPr>
        <w:spacing w:before="0" w:after="0" w:line="240" w:lineRule="auto"/>
        <w:ind w:left="425" w:firstLine="0"/>
        <w:jc w:val="both"/>
        <w:rPr>
          <w:sz w:val="24"/>
          <w:szCs w:val="24"/>
        </w:rPr>
      </w:pPr>
    </w:p>
    <w:p>
      <w:pPr>
        <w:numPr>
          <w:ilvl w:val="0"/>
          <w:numId w:val="44"/>
        </w:numPr>
        <w:spacing w:before="0" w:after="0" w:line="240" w:lineRule="auto"/>
        <w:ind w:left="567" w:hanging="142"/>
        <w:jc w:val="both"/>
        <w:rPr>
          <w:sz w:val="24"/>
          <w:szCs w:val="24"/>
        </w:rPr>
      </w:pPr>
      <w:r>
        <w:rPr>
          <w:sz w:val="24"/>
          <w:szCs w:val="24"/>
        </w:rPr>
        <w:t>Multa;</w:t>
      </w:r>
    </w:p>
    <w:p>
      <w:pPr>
        <w:ind w:left="142"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16"/>
          <w:szCs w:val="16"/>
        </w:rPr>
      </w:pPr>
    </w:p>
    <w:p>
      <w:pPr>
        <w:tabs>
          <w:tab w:val="left" w:pos="5954"/>
        </w:tabs>
        <w:ind w:left="142" w:firstLine="0"/>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before="0"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firstLine="0"/>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firstLine="0"/>
        <w:jc w:val="both"/>
        <w:rPr>
          <w:sz w:val="24"/>
          <w:szCs w:val="24"/>
        </w:rPr>
      </w:pP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42"/>
        </w:numPr>
        <w:overflowPunct/>
        <w:spacing w:before="0"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firstLine="0"/>
        <w:jc w:val="both"/>
        <w:rPr>
          <w:bCs/>
          <w:sz w:val="24"/>
          <w:szCs w:val="24"/>
        </w:rPr>
      </w:pPr>
    </w:p>
    <w:p>
      <w:pPr>
        <w:numPr>
          <w:ilvl w:val="0"/>
          <w:numId w:val="47"/>
        </w:numPr>
        <w:tabs>
          <w:tab w:val="left" w:pos="-5670"/>
        </w:tabs>
        <w:overflowPunct/>
        <w:spacing w:before="0"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7"/>
        </w:numPr>
        <w:tabs>
          <w:tab w:val="left" w:pos="-5670"/>
        </w:tabs>
        <w:overflowPunct/>
        <w:spacing w:before="0"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7"/>
        </w:numPr>
        <w:tabs>
          <w:tab w:val="left" w:pos="-5670"/>
        </w:tabs>
        <w:overflowPunct/>
        <w:spacing w:before="0"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7"/>
        </w:numPr>
        <w:tabs>
          <w:tab w:val="left" w:pos="-5670"/>
        </w:tabs>
        <w:overflowPunct/>
        <w:spacing w:before="0" w:after="0"/>
        <w:ind w:left="426" w:firstLine="0"/>
        <w:jc w:val="both"/>
        <w:textAlignment w:val="baseline"/>
        <w:rPr>
          <w:sz w:val="24"/>
          <w:szCs w:val="24"/>
        </w:rPr>
      </w:pPr>
      <w:r>
        <w:rPr>
          <w:sz w:val="24"/>
          <w:szCs w:val="24"/>
        </w:rPr>
        <w:t>O atraso injustificado no início da obra;</w:t>
      </w:r>
    </w:p>
    <w:p>
      <w:pPr>
        <w:numPr>
          <w:ilvl w:val="0"/>
          <w:numId w:val="47"/>
        </w:numPr>
        <w:tabs>
          <w:tab w:val="left" w:pos="-5670"/>
        </w:tabs>
        <w:overflowPunct/>
        <w:spacing w:before="0"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dissolução da sociedade ou falecimento do contratado;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7"/>
        </w:numPr>
        <w:tabs>
          <w:tab w:val="left" w:pos="-5670"/>
        </w:tabs>
        <w:overflowPunct/>
        <w:spacing w:before="0"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after="200"/>
        <w:jc w:val="both"/>
        <w:rPr>
          <w:b/>
          <w:iCs/>
          <w:sz w:val="24"/>
          <w:szCs w:val="24"/>
        </w:rPr>
      </w:pPr>
      <w:r>
        <w:rPr>
          <w:b/>
          <w:iCs/>
          <w:sz w:val="24"/>
          <w:szCs w:val="24"/>
        </w:rPr>
        <w:t>CLÁUSULA DÉCIMA TERCEIRA – DISPOSIÇÕES GERAIS:</w:t>
      </w:r>
    </w:p>
    <w:p>
      <w:pPr>
        <w:numPr>
          <w:ilvl w:val="1"/>
          <w:numId w:val="48"/>
        </w:numPr>
        <w:overflowPunct/>
        <w:spacing w:before="0"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16"/>
          <w:szCs w:val="16"/>
        </w:rPr>
      </w:pPr>
    </w:p>
    <w:p>
      <w:pPr>
        <w:numPr>
          <w:ilvl w:val="1"/>
          <w:numId w:val="48"/>
        </w:numPr>
        <w:overflowPunct/>
        <w:spacing w:before="0"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firstLine="0"/>
        <w:jc w:val="both"/>
        <w:rPr>
          <w:sz w:val="24"/>
          <w:szCs w:val="24"/>
        </w:rPr>
      </w:pPr>
    </w:p>
    <w:p>
      <w:pPr>
        <w:keepNext/>
        <w:keepLines/>
        <w:widowControl w:val="0"/>
        <w:spacing w:before="20" w:after="20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firstLine="0"/>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after="200"/>
        <w:jc w:val="both"/>
        <w:rPr>
          <w:b/>
          <w:iCs/>
          <w:sz w:val="24"/>
          <w:szCs w:val="24"/>
        </w:rPr>
      </w:pPr>
      <w:r>
        <w:rPr>
          <w:b/>
          <w:iCs/>
          <w:sz w:val="24"/>
          <w:szCs w:val="24"/>
        </w:rPr>
        <w:t>CLÁUSULA DÉCIMA QUINTA – FORO</w:t>
      </w:r>
    </w:p>
    <w:p>
      <w:pPr>
        <w:numPr>
          <w:ilvl w:val="1"/>
          <w:numId w:val="49"/>
        </w:numPr>
        <w:overflowPunct/>
        <w:spacing w:before="0"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firstLine="0"/>
        <w:jc w:val="both"/>
        <w:rPr>
          <w:sz w:val="16"/>
          <w:szCs w:val="16"/>
        </w:rPr>
      </w:pPr>
    </w:p>
    <w:p>
      <w:pPr>
        <w:numPr>
          <w:ilvl w:val="1"/>
          <w:numId w:val="49"/>
        </w:numPr>
        <w:overflowPunct/>
        <w:spacing w:before="0"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lang w:eastAsia="pt-BR"/>
        </w:rPr>
      </w:pPr>
    </w:p>
    <w:p>
      <w:pPr>
        <w:overflowPunct/>
        <w:spacing w:before="0"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JORGE LUIS DE LUCIA</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Conforme Decreto nº 011/2021</w:t>
            </w:r>
          </w:p>
          <w:p>
            <w:pPr>
              <w:widowControl w:val="0"/>
              <w:tabs>
                <w:tab w:val="left" w:pos="5562"/>
              </w:tabs>
              <w:spacing w:before="0" w:after="0"/>
              <w:ind w:right="33" w:rightChars="0" w:firstLine="0" w:firstLineChars="0"/>
              <w:jc w:val="left"/>
              <w:textAlignment w:val="baseline"/>
              <w:rPr>
                <w:rFonts w:eastAsia="Times New Roman"/>
                <w:b/>
                <w:iCs/>
                <w:sz w:val="22"/>
                <w:lang w:eastAsia="pt-BR"/>
              </w:rPr>
            </w:pPr>
            <w:r>
              <w:rPr>
                <w:rFonts w:eastAsia="MS Mincho"/>
                <w:b/>
                <w:iCs/>
                <w:kern w:val="0"/>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CPF nº.</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Contratada</w:t>
            </w:r>
          </w:p>
        </w:tc>
      </w:tr>
    </w:tbl>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iCs/>
          <w:sz w:val="22"/>
          <w:lang w:eastAsia="pt-BR"/>
        </w:rPr>
      </w:pPr>
      <w:r>
        <w:rPr>
          <w:rFonts w:eastAsia="Times New Roman"/>
          <w:iCs/>
          <w:sz w:val="22"/>
          <w:lang w:eastAsia="pt-BR"/>
        </w:rPr>
        <w:t>Testemunhas:</w:t>
      </w: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b/>
          <w:sz w:val="24"/>
          <w:szCs w:val="24"/>
        </w:rPr>
      </w:pPr>
      <w:r>
        <w:br w:type="page"/>
      </w:r>
    </w:p>
    <w:p>
      <w:pPr>
        <w:tabs>
          <w:tab w:val="left" w:pos="10632"/>
          <w:tab w:val="left" w:pos="10773"/>
          <w:tab w:val="left" w:pos="10915"/>
          <w:tab w:val="left" w:pos="11199"/>
        </w:tabs>
        <w:spacing w:line="360" w:lineRule="auto"/>
        <w:ind w:right="46" w:firstLine="0"/>
        <w:jc w:val="both"/>
        <w:rPr>
          <w:rFonts w:hint="default"/>
          <w:b/>
          <w:sz w:val="24"/>
          <w:szCs w:val="24"/>
          <w:lang w:val="pt-BR"/>
        </w:rPr>
      </w:pPr>
      <w:r>
        <w:rPr>
          <w:b/>
          <w:sz w:val="24"/>
          <w:szCs w:val="24"/>
        </w:rPr>
        <w:t>ATO DE DESIGNAÇÃO DO FISCAL CONTRATO Nº ______/202</w:t>
      </w:r>
      <w:r>
        <w:rPr>
          <w:rFonts w:hint="default"/>
          <w:b/>
          <w:sz w:val="24"/>
          <w:szCs w:val="24"/>
          <w:lang w:val="pt-BR"/>
        </w:rPr>
        <w:t>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PROCESSO Nº </w:t>
      </w:r>
      <w:r>
        <w:rPr>
          <w:b/>
          <w:sz w:val="24"/>
          <w:szCs w:val="24"/>
          <w:lang w:val="pt-BR"/>
        </w:rPr>
        <w:t>040/2022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TOMADA DE PREÇO Nº.  </w:t>
      </w:r>
      <w:r>
        <w:rPr>
          <w:b/>
          <w:sz w:val="24"/>
          <w:szCs w:val="24"/>
          <w:lang w:val="pt-BR"/>
        </w:rPr>
        <w:t>003/2022</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1"/>
          <w:szCs w:val="21"/>
          <w:lang w:eastAsia="pt-BR"/>
        </w:rPr>
      </w:pPr>
      <w:r>
        <w:rPr>
          <w:b/>
          <w:bCs/>
          <w:iCs/>
          <w:sz w:val="24"/>
          <w:szCs w:val="24"/>
        </w:rPr>
        <w:t xml:space="preserve">OBJETO: </w:t>
      </w:r>
      <w:r>
        <w:rPr>
          <w:b/>
          <w:iCs/>
          <w:sz w:val="22"/>
          <w:szCs w:val="22"/>
        </w:rPr>
        <w:t>CONTRATAÇÃO DE EMPRESA ESPECIALIZADA PARA EXECUÇÃO DA OBRA DE PAVIMENTAÇÃO ASFÁLTICA COM GUIAS E SARJETAS E DRENAGEM DE ÁGUAS PLUVIAIS DA RUA LATERAL DO PARQUE CUMANDAÍ, LOCALIZADA NO MUNICÍPIO DE NAVIRAÍ/MS. SOLICITAÇ</w:t>
      </w:r>
      <w:r>
        <w:rPr>
          <w:rFonts w:hint="default"/>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PEDIDO DE SERVIÇO Nº 080/2022.</w:t>
      </w:r>
    </w:p>
    <w:p>
      <w:pPr>
        <w:spacing w:before="0" w:after="0"/>
        <w:jc w:val="both"/>
        <w:rPr>
          <w:iCs/>
          <w:sz w:val="24"/>
          <w:szCs w:val="24"/>
        </w:rPr>
      </w:pPr>
      <w:r>
        <w:rPr>
          <w:rFonts w:hint="default"/>
          <w:b/>
          <w:bCs/>
          <w:iCs/>
          <w:sz w:val="22"/>
          <w:szCs w:val="22"/>
          <w:u w:val="single"/>
        </w:rPr>
        <w:t>Jorge Luis de Lúcia</w:t>
      </w:r>
      <w:r>
        <w:rPr>
          <w:rFonts w:hint="default"/>
          <w:iCs/>
          <w:sz w:val="22"/>
          <w:szCs w:val="22"/>
        </w:rPr>
        <w:t>, Gerente de Obras e Ordenador de Despesas conforme Decreto nº. 011/2021, brasileiro, portador do CPF/MF nº. 079.589.258-67 e Cédula de Identidade RG nº. 9.057.438 SSP/SP, residente nesta cidade, à Avenida Amélia Fukuda,  nº 1216 – Jardim Oasis;</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4"/>
          <w:szCs w:val="24"/>
          <w:lang w:val="pt-BR"/>
        </w:rPr>
      </w:pPr>
      <w:r>
        <w:rPr>
          <w:b/>
          <w:sz w:val="24"/>
          <w:szCs w:val="24"/>
        </w:rPr>
        <w:t>Art.1º</w:t>
      </w:r>
      <w:r>
        <w:rPr>
          <w:sz w:val="24"/>
          <w:szCs w:val="24"/>
        </w:rPr>
        <w:t xml:space="preserve"> Designar os servidores abaixo com o encargo de Fiscal do Contrato nº. _____/202</w:t>
      </w:r>
      <w:r>
        <w:rPr>
          <w:rFonts w:hint="default"/>
          <w:sz w:val="24"/>
          <w:szCs w:val="24"/>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4"/>
                <w:szCs w:val="24"/>
              </w:rPr>
            </w:pPr>
            <w:r>
              <w:rPr>
                <w:b/>
                <w:bCs/>
                <w:color w:val="000000"/>
                <w:kern w:val="0"/>
                <w:sz w:val="24"/>
                <w:szCs w:val="24"/>
              </w:rPr>
              <w:t>Gerência</w:t>
            </w:r>
            <w:r>
              <w:rPr>
                <w:color w:val="000000"/>
                <w:kern w:val="0"/>
                <w:sz w:val="24"/>
                <w:szCs w:val="24"/>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4"/>
                <w:szCs w:val="24"/>
                <w:lang w:val="pt-BR"/>
              </w:rPr>
            </w:pPr>
            <w:r>
              <w:rPr>
                <w:color w:val="000000"/>
                <w:kern w:val="0"/>
                <w:sz w:val="24"/>
                <w:szCs w:val="24"/>
              </w:rPr>
              <w:t xml:space="preserve">Gerência de </w:t>
            </w:r>
            <w:r>
              <w:rPr>
                <w:rFonts w:hint="default"/>
                <w:color w:val="000000"/>
                <w:kern w:val="0"/>
                <w:sz w:val="24"/>
                <w:szCs w:val="24"/>
                <w:lang w:val="pt-BR"/>
              </w:rPr>
              <w:t>Obras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r>
    </w:tbl>
    <w:p>
      <w:pPr>
        <w:tabs>
          <w:tab w:val="left" w:pos="1661"/>
          <w:tab w:val="left" w:pos="10915"/>
        </w:tabs>
        <w:spacing w:before="0" w:after="240"/>
        <w:ind w:right="46" w:firstLine="0"/>
        <w:jc w:val="both"/>
        <w:rPr>
          <w:b/>
          <w:spacing w:val="2"/>
          <w:sz w:val="24"/>
          <w:szCs w:val="24"/>
        </w:rPr>
      </w:pPr>
    </w:p>
    <w:p>
      <w:pPr>
        <w:tabs>
          <w:tab w:val="left" w:pos="1661"/>
          <w:tab w:val="left" w:pos="10915"/>
        </w:tabs>
        <w:spacing w:before="0" w:after="240"/>
        <w:ind w:right="46" w:firstLine="0"/>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50"/>
        </w:numPr>
        <w:tabs>
          <w:tab w:val="left" w:pos="284"/>
          <w:tab w:val="left" w:pos="10915"/>
        </w:tabs>
        <w:overflowPunct/>
        <w:spacing w:before="0" w:after="240" w:line="240" w:lineRule="auto"/>
        <w:ind w:left="284" w:right="46" w:hanging="308"/>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50"/>
        </w:numPr>
        <w:tabs>
          <w:tab w:val="left" w:pos="426"/>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50"/>
        </w:numPr>
        <w:tabs>
          <w:tab w:val="left" w:pos="426"/>
          <w:tab w:val="left" w:pos="10915"/>
        </w:tabs>
        <w:overflowPunct/>
        <w:spacing w:before="0" w:after="0" w:line="240" w:lineRule="auto"/>
        <w:ind w:left="488" w:right="46" w:hanging="308"/>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firstLine="0"/>
        <w:jc w:val="both"/>
        <w:rPr>
          <w:sz w:val="24"/>
          <w:szCs w:val="24"/>
        </w:rPr>
      </w:pPr>
    </w:p>
    <w:p>
      <w:pPr>
        <w:tabs>
          <w:tab w:val="left" w:pos="11057"/>
        </w:tabs>
        <w:snapToGrid w:val="0"/>
        <w:ind w:right="46" w:firstLine="0"/>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firstLine="0"/>
        <w:jc w:val="both"/>
        <w:rPr>
          <w:color w:val="000000"/>
          <w:sz w:val="24"/>
          <w:szCs w:val="24"/>
        </w:rPr>
      </w:pPr>
    </w:p>
    <w:p>
      <w:pPr>
        <w:overflowPunct/>
        <w:spacing w:before="0"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spacing w:before="0" w:after="0" w:line="240" w:lineRule="auto"/>
        <w:textAlignment w:val="baseline"/>
        <w:rPr>
          <w:color w:val="000000"/>
          <w:sz w:val="24"/>
          <w:szCs w:val="24"/>
        </w:rPr>
      </w:pPr>
    </w:p>
    <w:p>
      <w:pPr>
        <w:overflowPunct/>
        <w:spacing w:before="0" w:after="0" w:line="240" w:lineRule="auto"/>
        <w:textAlignment w:val="baseline"/>
        <w:rPr>
          <w:color w:val="000000"/>
          <w:sz w:val="24"/>
          <w:szCs w:val="24"/>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JORGE LUIS DE LUCIA</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Ger. de Obras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Conforme Decreto nº 011/2021</w:t>
            </w:r>
          </w:p>
          <w:p>
            <w:pPr>
              <w:widowControl w:val="0"/>
              <w:tabs>
                <w:tab w:val="left" w:pos="5562"/>
              </w:tabs>
              <w:spacing w:before="0" w:after="0"/>
              <w:ind w:right="33" w:rightChars="0" w:firstLine="0" w:firstLineChars="0"/>
              <w:jc w:val="left"/>
              <w:textAlignment w:val="baseline"/>
              <w:rPr>
                <w:b/>
                <w:iCs/>
                <w:sz w:val="24"/>
                <w:szCs w:val="24"/>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4"/>
                <w:szCs w:val="24"/>
              </w:rPr>
            </w:pPr>
            <w:r>
              <w:rPr>
                <w:b/>
                <w:iCs/>
                <w:kern w:val="0"/>
                <w:sz w:val="24"/>
                <w:szCs w:val="24"/>
              </w:rPr>
              <w:t>...............................................</w:t>
            </w:r>
          </w:p>
          <w:p>
            <w:pPr>
              <w:widowControl w:val="0"/>
              <w:spacing w:before="0" w:after="0"/>
              <w:ind w:left="601" w:firstLine="0"/>
              <w:jc w:val="both"/>
              <w:rPr>
                <w:b/>
                <w:iCs/>
                <w:sz w:val="24"/>
                <w:szCs w:val="24"/>
              </w:rPr>
            </w:pPr>
            <w:r>
              <w:rPr>
                <w:b/>
                <w:iCs/>
                <w:kern w:val="0"/>
                <w:sz w:val="24"/>
                <w:szCs w:val="24"/>
              </w:rPr>
              <w:t>Nome:</w:t>
            </w:r>
          </w:p>
          <w:p>
            <w:pPr>
              <w:widowControl w:val="0"/>
              <w:spacing w:before="0" w:after="200"/>
              <w:ind w:left="601" w:firstLine="0"/>
              <w:jc w:val="both"/>
              <w:rPr>
                <w:b/>
                <w:iCs/>
                <w:sz w:val="24"/>
                <w:szCs w:val="24"/>
              </w:rPr>
            </w:pPr>
            <w:r>
              <w:rPr>
                <w:b/>
                <w:iCs/>
                <w:kern w:val="0"/>
                <w:sz w:val="24"/>
                <w:szCs w:val="24"/>
              </w:rPr>
              <w:t>CPF:</w:t>
            </w:r>
          </w:p>
        </w:tc>
      </w:tr>
    </w:tbl>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Processo Licitatório nº. 040/2022</w:t>
      </w: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Tomada de Preço nº. 003/2022</w:t>
      </w:r>
    </w:p>
    <w:p>
      <w:pPr>
        <w:overflowPunct/>
        <w:spacing w:before="0" w:after="0" w:line="240" w:lineRule="auto"/>
        <w:textAlignment w:val="baseline"/>
        <w:rPr>
          <w:rFonts w:eastAsia="Times New Roman"/>
          <w:b/>
          <w:bCs/>
          <w:i/>
          <w:iCs/>
          <w:sz w:val="22"/>
          <w:lang w:eastAsia="pt-BR"/>
        </w:rPr>
      </w:pPr>
      <w:r>
        <w:rPr>
          <w:rFonts w:eastAsia="Times New Roman"/>
          <w:b/>
          <w:bCs/>
          <w:i w:val="0"/>
          <w:iCs w:val="0"/>
          <w:sz w:val="24"/>
          <w:szCs w:val="24"/>
          <w:lang w:eastAsia="pt-BR"/>
        </w:rPr>
        <w:t>Contrato nº.  _________</w:t>
      </w:r>
      <w:r>
        <w:rPr>
          <w:rFonts w:eastAsia="Times New Roman"/>
          <w:b/>
          <w:bCs/>
          <w:i/>
          <w:iCs/>
          <w:sz w:val="22"/>
          <w:lang w:eastAsia="pt-BR"/>
        </w:rPr>
        <w:t xml:space="preserve"> </w:t>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firstLine="0"/>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firstLine="0"/>
        <w:jc w:val="both"/>
        <w:rPr>
          <w:b/>
          <w:bCs/>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spacing w:before="0" w:after="200"/>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w:t>
      </w:r>
      <w:r>
        <w:rPr>
          <w:rFonts w:hint="default"/>
          <w:iCs/>
          <w:sz w:val="24"/>
          <w:szCs w:val="24"/>
          <w:lang w:val="pt-BR"/>
        </w:rPr>
        <w:t>Avenida Weimar Gonçalves Torres, nº 862</w:t>
      </w:r>
      <w:r>
        <w:rPr>
          <w:iCs/>
          <w:sz w:val="24"/>
          <w:szCs w:val="24"/>
        </w:rPr>
        <w:t xml:space="preserve">,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rFonts w:eastAsia="Times New Roman"/>
          <w:i/>
          <w:iCs/>
          <w:sz w:val="22"/>
          <w:lang w:eastAsia="pt-BR"/>
        </w:rPr>
      </w:pPr>
      <w:r>
        <w:rPr>
          <w:b/>
          <w:iCs/>
          <w:sz w:val="24"/>
          <w:szCs w:val="24"/>
        </w:rPr>
        <w:t>CNPJ Nº</w:t>
      </w:r>
    </w:p>
    <w:p>
      <w:pPr>
        <w:rPr>
          <w:rFonts w:eastAsia="Times New Roman"/>
          <w:b/>
          <w:iCs/>
          <w:sz w:val="22"/>
          <w:lang w:eastAsia="pt-BR"/>
        </w:rPr>
        <w:sectPr>
          <w:headerReference r:id="rId5" w:type="default"/>
          <w:footerReference r:id="rId6" w:type="default"/>
          <w:pgSz w:w="12240" w:h="15840"/>
          <w:pgMar w:top="1517"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numPr>
          <w:ilvl w:val="0"/>
          <w:numId w:val="0"/>
        </w:numPr>
        <w:spacing w:before="0" w:after="0"/>
        <w:ind w:right="-34" w:firstLine="0"/>
        <w:jc w:val="center"/>
        <w:outlineLvl w:val="0"/>
        <w:rPr>
          <w:b/>
          <w:sz w:val="22"/>
        </w:rPr>
      </w:pPr>
      <w:r>
        <w:rPr>
          <w:b/>
          <w:sz w:val="22"/>
        </w:rPr>
        <w:t>PREFEITURA MUNICIPAL DE NAVIRAÍ - MS</w:t>
      </w:r>
    </w:p>
    <w:p>
      <w:pPr>
        <w:numPr>
          <w:ilvl w:val="0"/>
          <w:numId w:val="0"/>
        </w:numPr>
        <w:spacing w:before="0"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4"/>
                <w:szCs w:val="24"/>
              </w:rPr>
            </w:pPr>
            <w:r>
              <w:rPr>
                <w:b/>
                <w:kern w:val="0"/>
                <w:sz w:val="24"/>
                <w:szCs w:val="24"/>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4"/>
                <w:szCs w:val="24"/>
              </w:rPr>
            </w:pPr>
            <w:r>
              <w:rPr>
                <w:b/>
                <w:kern w:val="0"/>
                <w:sz w:val="24"/>
                <w:szCs w:val="24"/>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4"/>
                <w:szCs w:val="24"/>
              </w:rPr>
            </w:pPr>
            <w:r>
              <w:rPr>
                <w:b/>
                <w:kern w:val="0"/>
                <w:sz w:val="24"/>
                <w:szCs w:val="24"/>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4"/>
                <w:szCs w:val="24"/>
              </w:rPr>
            </w:pPr>
            <w:r>
              <w:rPr>
                <w:b/>
                <w:kern w:val="0"/>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4"/>
                <w:szCs w:val="24"/>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4"/>
                <w:szCs w:val="24"/>
              </w:rPr>
            </w:pPr>
            <w:r>
              <w:rPr>
                <w:b/>
                <w:color w:val="FF0000"/>
                <w:kern w:val="0"/>
                <w:sz w:val="24"/>
                <w:szCs w:val="24"/>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4"/>
                <w:szCs w:val="24"/>
                <w:lang w:val="pt-BR"/>
              </w:rPr>
            </w:pPr>
            <w:r>
              <w:rPr>
                <w:b/>
                <w:color w:val="FF0000"/>
                <w:kern w:val="0"/>
                <w:sz w:val="24"/>
                <w:szCs w:val="24"/>
                <w:lang w:val="pt-BR"/>
              </w:rPr>
              <w:t>003/2022</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TELEFONE:</w:t>
            </w:r>
          </w:p>
        </w:tc>
      </w:tr>
    </w:tbl>
    <w:p>
      <w:pPr>
        <w:jc w:val="both"/>
        <w:rPr>
          <w:b/>
          <w:color w:val="FF0000"/>
          <w:sz w:val="2"/>
          <w:szCs w:val="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4"/>
                <w:szCs w:val="24"/>
              </w:rPr>
            </w:pPr>
          </w:p>
        </w:tc>
      </w:tr>
    </w:tbl>
    <w:p>
      <w:pPr>
        <w:keepNext/>
        <w:numPr>
          <w:ilvl w:val="0"/>
          <w:numId w:val="0"/>
        </w:numPr>
        <w:jc w:val="both"/>
        <w:outlineLvl w:val="1"/>
        <w:rPr>
          <w:b/>
          <w:sz w:val="2"/>
          <w:szCs w:val="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TOTAL GERAL R$                            (                                                                                        )                                                                               )</w:t>
            </w:r>
          </w:p>
        </w:tc>
      </w:tr>
    </w:tbl>
    <w:p>
      <w:pPr>
        <w:ind w:left="-142" w:firstLine="0"/>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003/2022</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before="0" w:after="0"/>
        <w:ind w:left="-142" w:firstLine="0"/>
        <w:jc w:val="both"/>
        <w:rPr>
          <w:rFonts w:eastAsia="Arial Unicode MS"/>
          <w:sz w:val="24"/>
          <w:szCs w:val="24"/>
        </w:rPr>
      </w:pPr>
      <w:r>
        <w:rPr>
          <w:rFonts w:eastAsia="Arial Unicode MS"/>
          <w:sz w:val="24"/>
          <w:szCs w:val="24"/>
        </w:rPr>
        <w:t>(Local)............................., data.................................de 202</w:t>
      </w:r>
      <w:r>
        <w:rPr>
          <w:rFonts w:hint="default" w:eastAsia="Arial Unicode MS"/>
          <w:sz w:val="24"/>
          <w:szCs w:val="24"/>
          <w:lang w:val="pt-BR"/>
        </w:rPr>
        <w:t>2</w:t>
      </w:r>
      <w:r>
        <w:rPr>
          <w:rFonts w:eastAsia="Arial Unicode MS"/>
          <w:sz w:val="24"/>
          <w:szCs w:val="24"/>
        </w:rPr>
        <w:t>.</w:t>
      </w:r>
    </w:p>
    <w:p>
      <w:pPr>
        <w:ind w:left="-142" w:firstLine="0"/>
        <w:jc w:val="both"/>
        <w:rPr>
          <w:rFonts w:eastAsia="Times New Roman"/>
          <w:b/>
          <w:i/>
          <w:sz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4"/>
          <w:szCs w:val="24"/>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lang w:eastAsia="pt-BR"/>
        </w:rPr>
      </w:pPr>
    </w:p>
    <w:p>
      <w:pPr>
        <w:keepNext/>
        <w:keepLines/>
        <w:widowControl w:val="0"/>
        <w:spacing w:before="20" w:after="200"/>
        <w:jc w:val="center"/>
        <w:rPr>
          <w:b/>
          <w:iCs/>
          <w:sz w:val="24"/>
          <w:szCs w:val="24"/>
        </w:rPr>
      </w:pPr>
      <w:r>
        <w:rPr>
          <w:b/>
          <w:iCs/>
          <w:sz w:val="24"/>
          <w:szCs w:val="24"/>
        </w:rPr>
        <w:t>ANEXO III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MODELO DA CARTA DE CREDENCIAMENTO</w:t>
      </w:r>
    </w:p>
    <w:p>
      <w:pPr>
        <w:ind w:left="-851" w:right="-618" w:firstLine="0"/>
        <w:jc w:val="center"/>
        <w:rPr>
          <w:sz w:val="24"/>
          <w:szCs w:val="24"/>
          <w:u w:val="single"/>
        </w:rPr>
      </w:pPr>
    </w:p>
    <w:p>
      <w:pPr>
        <w:ind w:left="-851" w:right="-618" w:firstLine="0"/>
        <w:jc w:val="both"/>
        <w:rPr>
          <w:sz w:val="24"/>
          <w:szCs w:val="24"/>
        </w:rPr>
      </w:pPr>
    </w:p>
    <w:p>
      <w:pPr>
        <w:ind w:left="-851" w:right="-618" w:firstLine="0"/>
        <w:jc w:val="both"/>
        <w:rPr>
          <w:sz w:val="24"/>
          <w:szCs w:val="24"/>
        </w:rPr>
      </w:pPr>
    </w:p>
    <w:p>
      <w:pPr>
        <w:ind w:right="-1" w:firstLine="0"/>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firstLine="0"/>
        <w:jc w:val="center"/>
        <w:rPr>
          <w:b/>
          <w:bCs/>
          <w:sz w:val="24"/>
          <w:szCs w:val="24"/>
          <w:u w:val="single"/>
        </w:rPr>
      </w:pPr>
      <w:r>
        <w:br w:type="page"/>
      </w:r>
    </w:p>
    <w:p>
      <w:pPr>
        <w:ind w:left="-851" w:right="-618" w:firstLine="0"/>
        <w:jc w:val="center"/>
        <w:rPr>
          <w:b/>
          <w:iCs/>
          <w:sz w:val="24"/>
          <w:szCs w:val="24"/>
        </w:rPr>
      </w:pPr>
      <w:r>
        <w:rPr>
          <w:b/>
          <w:iCs/>
          <w:sz w:val="24"/>
          <w:szCs w:val="24"/>
        </w:rPr>
        <w:t>ANEXO IV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6"/>
        <w:tabs>
          <w:tab w:val="right" w:pos="8222"/>
          <w:tab w:val="clear" w:pos="8838"/>
        </w:tabs>
        <w:ind w:right="-947" w:hanging="1276"/>
        <w:jc w:val="center"/>
        <w:rPr>
          <w:rFonts w:ascii="Garamond" w:hAnsi="Garamond"/>
          <w:b/>
          <w:iCs/>
          <w:color w:val="0000FF"/>
        </w:rPr>
      </w:pPr>
      <w:r>
        <w:rPr>
          <w:sz w:val="24"/>
          <w:szCs w:val="24"/>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auto"/>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pregaonavirai@gmail.com</w:t>
    </w:r>
  </w:p>
  <w:p>
    <w:pPr>
      <w:pStyle w:val="26"/>
      <w:jc w:val="center"/>
    </w:pPr>
  </w:p>
  <w:p>
    <w:pPr>
      <w:pStyle w:val="26"/>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Telefax (0**67) 3409-1500 – Cep 79950-000 – e-mail: pregaonavirai@gmail.com</w:t>
    </w:r>
  </w:p>
  <w:p>
    <w:pPr>
      <w:pStyle w:val="26"/>
      <w:jc w:val="center"/>
    </w:pPr>
  </w:p>
  <w:p>
    <w:pPr>
      <w:pStyle w:val="26"/>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pregaonavirai@gmail.com</w:t>
    </w:r>
  </w:p>
  <w:p>
    <w:pPr>
      <w:pStyle w:val="26"/>
      <w:jc w:val="center"/>
    </w:pPr>
  </w:p>
  <w:p>
    <w:pPr>
      <w:pStyle w:val="26"/>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129665" cy="862965"/>
          <wp:effectExtent l="0" t="0" r="13335" b="13335"/>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129665" cy="862965"/>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5">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6">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7">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8">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9">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77ECEA79"/>
    <w:multiLevelType w:val="multilevel"/>
    <w:tmpl w:val="77ECEA79"/>
    <w:lvl w:ilvl="0" w:tentative="0">
      <w:start w:val="6"/>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1">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4"/>
    <w:lvlOverride w:ilvl="1">
      <w:startOverride w:val="1"/>
    </w:lvlOverride>
  </w:num>
  <w:num w:numId="2">
    <w:abstractNumId w:val="34"/>
  </w:num>
  <w:num w:numId="3">
    <w:abstractNumId w:val="33"/>
    <w:lvlOverride w:ilvl="0">
      <w:startOverride w:val="1"/>
    </w:lvlOverride>
  </w:num>
  <w:num w:numId="4">
    <w:abstractNumId w:val="33"/>
  </w:num>
  <w:num w:numId="5">
    <w:abstractNumId w:val="25"/>
    <w:lvlOverride w:ilvl="2">
      <w:startOverride w:val="1"/>
    </w:lvlOverride>
  </w:num>
  <w:num w:numId="6">
    <w:abstractNumId w:val="13"/>
  </w:num>
  <w:num w:numId="7">
    <w:abstractNumId w:val="5"/>
    <w:lvlOverride w:ilvl="1">
      <w:startOverride w:val="1"/>
    </w:lvlOverride>
  </w:num>
  <w:num w:numId="8">
    <w:abstractNumId w:val="37"/>
    <w:lvlOverride w:ilvl="0">
      <w:startOverride w:val="1"/>
    </w:lvlOverride>
  </w:num>
  <w:num w:numId="9">
    <w:abstractNumId w:val="31"/>
  </w:num>
  <w:num w:numId="10">
    <w:abstractNumId w:val="6"/>
    <w:lvlOverride w:ilvl="0">
      <w:startOverride w:val="1"/>
    </w:lvlOverride>
  </w:num>
  <w:num w:numId="11">
    <w:abstractNumId w:val="40"/>
  </w:num>
  <w:num w:numId="12">
    <w:abstractNumId w:val="6"/>
  </w:num>
  <w:num w:numId="13">
    <w:abstractNumId w:val="10"/>
  </w:num>
  <w:num w:numId="14">
    <w:abstractNumId w:val="38"/>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1"/>
    <w:lvlOverride w:ilvl="0">
      <w:startOverride w:val="1"/>
    </w:lvlOverride>
  </w:num>
  <w:num w:numId="20">
    <w:abstractNumId w:val="41"/>
  </w:num>
  <w:num w:numId="21">
    <w:abstractNumId w:val="24"/>
    <w:lvlOverride w:ilvl="0">
      <w:startOverride w:val="1"/>
    </w:lvlOverride>
  </w:num>
  <w:num w:numId="22">
    <w:abstractNumId w:val="24"/>
  </w:num>
  <w:num w:numId="23">
    <w:abstractNumId w:val="16"/>
  </w:num>
  <w:num w:numId="24">
    <w:abstractNumId w:val="37"/>
  </w:num>
  <w:num w:numId="25">
    <w:abstractNumId w:val="14"/>
  </w:num>
  <w:num w:numId="26">
    <w:abstractNumId w:val="26"/>
    <w:lvlOverride w:ilvl="0">
      <w:startOverride w:val="1"/>
    </w:lvlOverride>
  </w:num>
  <w:num w:numId="27">
    <w:abstractNumId w:val="9"/>
  </w:num>
  <w:num w:numId="28">
    <w:abstractNumId w:val="3"/>
  </w:num>
  <w:num w:numId="29">
    <w:abstractNumId w:val="8"/>
  </w:num>
  <w:num w:numId="30">
    <w:abstractNumId w:val="35"/>
  </w:num>
  <w:num w:numId="31">
    <w:abstractNumId w:val="0"/>
  </w:num>
  <w:num w:numId="32">
    <w:abstractNumId w:val="21"/>
  </w:num>
  <w:num w:numId="33">
    <w:abstractNumId w:val="2"/>
  </w:num>
  <w:num w:numId="34">
    <w:abstractNumId w:val="36"/>
  </w:num>
  <w:num w:numId="35">
    <w:abstractNumId w:val="39"/>
  </w:num>
  <w:num w:numId="36">
    <w:abstractNumId w:val="32"/>
  </w:num>
  <w:num w:numId="37">
    <w:abstractNumId w:val="27"/>
  </w:num>
  <w:num w:numId="38">
    <w:abstractNumId w:val="18"/>
  </w:num>
  <w:num w:numId="39">
    <w:abstractNumId w:val="19"/>
  </w:num>
  <w:num w:numId="40">
    <w:abstractNumId w:val="12"/>
  </w:num>
  <w:num w:numId="41">
    <w:abstractNumId w:val="28"/>
  </w:num>
  <w:num w:numId="42">
    <w:abstractNumId w:val="22"/>
  </w:num>
  <w:num w:numId="43">
    <w:abstractNumId w:val="15"/>
  </w:num>
  <w:num w:numId="44">
    <w:abstractNumId w:val="23"/>
  </w:num>
  <w:num w:numId="45">
    <w:abstractNumId w:val="7"/>
  </w:num>
  <w:num w:numId="46">
    <w:abstractNumId w:val="30"/>
  </w:num>
  <w:num w:numId="47">
    <w:abstractNumId w:val="20"/>
  </w:num>
  <w:num w:numId="48">
    <w:abstractNumId w:val="29"/>
  </w:num>
  <w:num w:numId="49">
    <w:abstractNumId w:val="1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AB921CB"/>
    <w:rsid w:val="1B6B7765"/>
    <w:rsid w:val="33186FCD"/>
    <w:rsid w:val="34E32128"/>
    <w:rsid w:val="4F9A39B8"/>
    <w:rsid w:val="519F13EF"/>
    <w:rsid w:val="663B7483"/>
    <w:rsid w:val="760C60AF"/>
    <w:rsid w:val="7DFC3B6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page number"/>
    <w:basedOn w:val="11"/>
    <w:qFormat/>
    <w:uiPriority w:val="0"/>
  </w:style>
  <w:style w:type="paragraph" w:styleId="15">
    <w:name w:val="List"/>
    <w:basedOn w:val="16"/>
    <w:qFormat/>
    <w:uiPriority w:val="0"/>
    <w:rPr>
      <w:rFonts w:cs="Arial"/>
    </w:rPr>
  </w:style>
  <w:style w:type="paragraph" w:styleId="16">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7">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8">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19">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0">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1">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2">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3">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4">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5">
    <w:name w:val="annotation subject"/>
    <w:basedOn w:val="18"/>
    <w:next w:val="18"/>
    <w:qFormat/>
    <w:uiPriority w:val="0"/>
    <w:rPr>
      <w:b/>
      <w:bCs/>
    </w:rPr>
  </w:style>
  <w:style w:type="paragraph" w:styleId="26">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7">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8">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29">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0">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1">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2">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3">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4">
    <w:name w:val="Link da internet visitado"/>
    <w:unhideWhenUsed/>
    <w:qFormat/>
    <w:uiPriority w:val="99"/>
    <w:rPr>
      <w:color w:val="800080"/>
      <w:u w:val="single"/>
    </w:rPr>
  </w:style>
  <w:style w:type="character" w:customStyle="1" w:styleId="35">
    <w:name w:val="Link da Internet"/>
    <w:unhideWhenUsed/>
    <w:qFormat/>
    <w:uiPriority w:val="0"/>
    <w:rPr>
      <w:color w:val="0000FF"/>
      <w:u w:val="single"/>
    </w:rPr>
  </w:style>
  <w:style w:type="character" w:customStyle="1" w:styleId="36">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7">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8">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39">
    <w:name w:val="Título 4 Char"/>
    <w:basedOn w:val="11"/>
    <w:semiHidden/>
    <w:qFormat/>
    <w:uiPriority w:val="0"/>
    <w:rPr>
      <w:rFonts w:ascii="Arial" w:hAnsi="Arial" w:eastAsia="Times New Roman" w:cs="Times New Roman"/>
      <w:b/>
      <w:szCs w:val="20"/>
      <w:lang w:val="zh-CN" w:eastAsia="zh-CN"/>
    </w:rPr>
  </w:style>
  <w:style w:type="character" w:customStyle="1" w:styleId="40">
    <w:name w:val="Título 5 Char"/>
    <w:basedOn w:val="11"/>
    <w:semiHidden/>
    <w:qFormat/>
    <w:uiPriority w:val="0"/>
    <w:rPr>
      <w:rFonts w:ascii="Arial" w:hAnsi="Arial" w:eastAsia="Times New Roman" w:cs="Times New Roman"/>
      <w:b/>
      <w:szCs w:val="20"/>
      <w:lang w:val="zh-CN" w:eastAsia="zh-CN"/>
    </w:rPr>
  </w:style>
  <w:style w:type="character" w:customStyle="1" w:styleId="41">
    <w:name w:val="Título 6 Char"/>
    <w:basedOn w:val="11"/>
    <w:semiHidden/>
    <w:qFormat/>
    <w:uiPriority w:val="0"/>
    <w:rPr>
      <w:rFonts w:ascii="Arial" w:hAnsi="Arial" w:eastAsia="Times New Roman" w:cs="Times New Roman"/>
      <w:b/>
      <w:szCs w:val="20"/>
      <w:lang w:val="zh-CN" w:eastAsia="zh-CN"/>
    </w:rPr>
  </w:style>
  <w:style w:type="character" w:customStyle="1" w:styleId="42">
    <w:name w:val="Título 7 Char"/>
    <w:basedOn w:val="11"/>
    <w:semiHidden/>
    <w:qFormat/>
    <w:uiPriority w:val="0"/>
    <w:rPr>
      <w:rFonts w:ascii="Arial" w:hAnsi="Arial" w:eastAsia="Times New Roman" w:cs="Times New Roman"/>
      <w:szCs w:val="20"/>
      <w:u w:val="single"/>
      <w:lang w:val="zh-CN" w:eastAsia="zh-CN"/>
    </w:rPr>
  </w:style>
  <w:style w:type="character" w:customStyle="1" w:styleId="43">
    <w:name w:val="Título 8 Char"/>
    <w:basedOn w:val="11"/>
    <w:semiHidden/>
    <w:qFormat/>
    <w:uiPriority w:val="0"/>
    <w:rPr>
      <w:rFonts w:ascii="Arial" w:hAnsi="Arial" w:eastAsia="Times New Roman" w:cs="Times New Roman"/>
      <w:b/>
      <w:szCs w:val="20"/>
      <w:lang w:val="zh-CN" w:eastAsia="zh-CN"/>
    </w:rPr>
  </w:style>
  <w:style w:type="character" w:customStyle="1" w:styleId="44">
    <w:name w:val="Título 9 Char"/>
    <w:basedOn w:val="11"/>
    <w:semiHidden/>
    <w:qFormat/>
    <w:uiPriority w:val="0"/>
    <w:rPr>
      <w:rFonts w:ascii="Arial" w:hAnsi="Arial" w:eastAsia="Times New Roman" w:cs="Times New Roman"/>
      <w:b/>
      <w:sz w:val="20"/>
      <w:szCs w:val="20"/>
      <w:lang w:val="zh-CN" w:eastAsia="zh-CN"/>
    </w:rPr>
  </w:style>
  <w:style w:type="character" w:customStyle="1" w:styleId="45">
    <w:name w:val="Rodapé Char"/>
    <w:basedOn w:val="11"/>
    <w:qFormat/>
    <w:uiPriority w:val="99"/>
    <w:rPr>
      <w:rFonts w:ascii="Times New Roman" w:hAnsi="Times New Roman" w:eastAsia="Times New Roman" w:cs="Times New Roman"/>
      <w:sz w:val="20"/>
      <w:szCs w:val="20"/>
      <w:lang w:eastAsia="pt-BR"/>
    </w:rPr>
  </w:style>
  <w:style w:type="character" w:customStyle="1" w:styleId="46">
    <w:name w:val="Cabeçalho Char"/>
    <w:basedOn w:val="11"/>
    <w:qFormat/>
    <w:uiPriority w:val="0"/>
    <w:rPr>
      <w:rFonts w:ascii="Times New Roman" w:hAnsi="Times New Roman" w:eastAsia="Times New Roman" w:cs="Times New Roman"/>
      <w:sz w:val="20"/>
      <w:szCs w:val="20"/>
      <w:lang w:eastAsia="pt-BR"/>
    </w:rPr>
  </w:style>
  <w:style w:type="character" w:customStyle="1" w:styleId="47">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8">
    <w:name w:val="Corpo de texto Char"/>
    <w:basedOn w:val="11"/>
    <w:qFormat/>
    <w:uiPriority w:val="0"/>
    <w:rPr>
      <w:rFonts w:ascii="Arial" w:hAnsi="Arial" w:eastAsia="Times New Roman" w:cs="Times New Roman"/>
      <w:szCs w:val="20"/>
      <w:lang w:val="zh-CN" w:eastAsia="zh-CN"/>
    </w:rPr>
  </w:style>
  <w:style w:type="character" w:customStyle="1" w:styleId="49">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0">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1">
    <w:name w:val="Corpo de texto 2 Char"/>
    <w:basedOn w:val="11"/>
    <w:qFormat/>
    <w:uiPriority w:val="0"/>
    <w:rPr>
      <w:rFonts w:ascii="Arial" w:hAnsi="Arial" w:eastAsia="Times New Roman" w:cs="Times New Roman"/>
      <w:sz w:val="21"/>
      <w:szCs w:val="20"/>
      <w:lang w:val="zh-CN" w:eastAsia="zh-CN"/>
    </w:rPr>
  </w:style>
  <w:style w:type="character" w:customStyle="1" w:styleId="52">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3">
    <w:name w:val="Recuo de corpo de texto 2 Char"/>
    <w:basedOn w:val="11"/>
    <w:qFormat/>
    <w:uiPriority w:val="0"/>
    <w:rPr>
      <w:rFonts w:ascii="Arial" w:hAnsi="Arial" w:eastAsia="Times New Roman" w:cs="Times New Roman"/>
      <w:sz w:val="23"/>
      <w:szCs w:val="20"/>
      <w:lang w:val="zh-CN" w:eastAsia="zh-CN"/>
    </w:rPr>
  </w:style>
  <w:style w:type="character" w:customStyle="1" w:styleId="54">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5">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6">
    <w:name w:val="Texto de balão Char"/>
    <w:basedOn w:val="11"/>
    <w:qFormat/>
    <w:uiPriority w:val="0"/>
    <w:rPr>
      <w:rFonts w:ascii="Tahoma" w:hAnsi="Tahoma" w:eastAsia="Times New Roman" w:cs="Times New Roman"/>
      <w:sz w:val="16"/>
      <w:szCs w:val="16"/>
      <w:lang w:val="zh-CN" w:eastAsia="zh-CN"/>
    </w:rPr>
  </w:style>
  <w:style w:type="character" w:customStyle="1" w:styleId="57">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8">
    <w:name w:val="Assunto do comentário Char"/>
    <w:basedOn w:val="57"/>
    <w:qFormat/>
    <w:uiPriority w:val="0"/>
    <w:rPr>
      <w:rFonts w:ascii="Times New Roman" w:hAnsi="Times New Roman" w:eastAsia="Times New Roman" w:cs="Times New Roman"/>
      <w:b/>
      <w:bCs/>
      <w:sz w:val="20"/>
      <w:szCs w:val="20"/>
      <w:lang w:eastAsia="pt-BR"/>
    </w:rPr>
  </w:style>
  <w:style w:type="paragraph" w:customStyle="1" w:styleId="59">
    <w:name w:val="Título1"/>
    <w:basedOn w:val="1"/>
    <w:next w:val="16"/>
    <w:qFormat/>
    <w:uiPriority w:val="0"/>
    <w:pPr>
      <w:keepNext/>
      <w:spacing w:before="240" w:after="120"/>
    </w:pPr>
    <w:rPr>
      <w:rFonts w:ascii="Liberation Sans" w:hAnsi="Liberation Sans" w:eastAsia="Microsoft YaHei" w:cs="Arial"/>
      <w:sz w:val="28"/>
      <w:szCs w:val="28"/>
    </w:rPr>
  </w:style>
  <w:style w:type="paragraph" w:customStyle="1" w:styleId="60">
    <w:name w:val="Índice"/>
    <w:basedOn w:val="1"/>
    <w:qFormat/>
    <w:uiPriority w:val="0"/>
    <w:pPr>
      <w:suppressLineNumbers/>
    </w:pPr>
    <w:rPr>
      <w:rFonts w:cs="Arial"/>
    </w:rPr>
  </w:style>
  <w:style w:type="paragraph" w:customStyle="1" w:styleId="61">
    <w:name w:val="Cabeçalho e Rodapé"/>
    <w:basedOn w:val="1"/>
    <w:qFormat/>
    <w:uiPriority w:val="0"/>
  </w:style>
  <w:style w:type="paragraph" w:styleId="62">
    <w:name w:val="List Paragraph"/>
    <w:basedOn w:val="1"/>
    <w:qFormat/>
    <w:uiPriority w:val="34"/>
    <w:pPr>
      <w:spacing w:before="0" w:after="200"/>
      <w:ind w:left="720" w:firstLine="0"/>
      <w:contextualSpacing/>
    </w:pPr>
    <w:rPr>
      <w:rFonts w:ascii="Calibri" w:hAnsi="Calibri" w:eastAsia="Calibri"/>
      <w:sz w:val="22"/>
    </w:rPr>
  </w:style>
  <w:style w:type="paragraph" w:customStyle="1" w:styleId="63">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4">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5">
    <w:name w:val="Parágrafo da Lista1"/>
    <w:basedOn w:val="1"/>
    <w:qFormat/>
    <w:uiPriority w:val="0"/>
    <w:pPr>
      <w:ind w:left="720" w:firstLine="0"/>
    </w:pPr>
    <w:rPr>
      <w:rFonts w:ascii="Calibri" w:hAnsi="Calibri" w:eastAsia="Times New Roman"/>
      <w:sz w:val="22"/>
    </w:rPr>
  </w:style>
  <w:style w:type="paragraph" w:customStyle="1" w:styleId="66">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1</TotalTime>
  <ScaleCrop>false</ScaleCrop>
  <LinksUpToDate>false</LinksUpToDate>
  <CharactersWithSpaces>75189</CharactersWithSpaces>
  <Application>WPS Office_11.2.0.11042_F1E327BC-269C-435d-A152-05C5408002CA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2022-03-29T14:50:00Z</cp:lastPrinted>
  <dcterms:modified xsi:type="dcterms:W3CDTF">2022-04-07T12:52:44Z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E0B307ADDD664AE6BDE1FF9E008992F1</vt:lpwstr>
  </property>
  <property fmtid="{D5CDD505-2E9C-101B-9397-08002B2CF9AE}" pid="3" name="KSOProductBuildVer">
    <vt:lpwstr>1046-11.2.0.11042</vt:lpwstr>
  </property>
</Properties>
</file>