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21</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008/2022</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145/2022</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 xml:space="preserve">por meio de sua Comissão Permanente de Licitação conforme Portaria nº. </w:t>
      </w:r>
      <w:r>
        <w:rPr>
          <w:iCs/>
          <w:sz w:val="22"/>
          <w:szCs w:val="22"/>
          <w:lang w:val="pt-BR"/>
        </w:rPr>
        <w:t>387</w:t>
      </w:r>
      <w:r>
        <w:rPr>
          <w:sz w:val="22"/>
          <w:szCs w:val="22"/>
        </w:rPr>
        <w:t xml:space="preserve"> de </w:t>
      </w:r>
      <w:r>
        <w:rPr>
          <w:sz w:val="22"/>
          <w:szCs w:val="22"/>
          <w:lang w:val="pt-BR"/>
        </w:rPr>
        <w:t>1</w:t>
      </w:r>
      <w:r>
        <w:rPr>
          <w:sz w:val="22"/>
          <w:szCs w:val="22"/>
        </w:rPr>
        <w:t xml:space="preserve">6 de </w:t>
      </w:r>
      <w:r>
        <w:rPr>
          <w:sz w:val="22"/>
          <w:szCs w:val="22"/>
          <w:lang w:val="pt-BR"/>
        </w:rPr>
        <w:t>julho</w:t>
      </w:r>
      <w:r>
        <w:rPr>
          <w:sz w:val="22"/>
          <w:szCs w:val="22"/>
        </w:rPr>
        <w:t xml:space="preserve"> de 2021</w:t>
      </w:r>
      <w:r>
        <w:rPr>
          <w:rFonts w:hint="default"/>
          <w:sz w:val="22"/>
          <w:szCs w:val="22"/>
          <w:lang w:val="pt-BR"/>
        </w:rPr>
        <w:t xml:space="preserve"> e 304/2022 de 31 maio de 2022</w:t>
      </w:r>
      <w:r>
        <w:rPr>
          <w:iCs/>
          <w:sz w:val="22"/>
          <w:szCs w:val="22"/>
        </w:rPr>
        <w:t xml:space="preserve">, sito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11 de julho de 2022</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15</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3"/>
        </w:numPr>
        <w:ind w:left="360" w:right="-1" w:hanging="360"/>
        <w:jc w:val="both"/>
        <w:textAlignment w:val="auto"/>
      </w:pPr>
      <w:r>
        <w:rPr>
          <w:rFonts w:eastAsia="Times New Roman"/>
          <w:iCs/>
          <w:sz w:val="22"/>
          <w:szCs w:val="22"/>
          <w:lang w:eastAsia="pt-BR"/>
        </w:rPr>
        <w:t xml:space="preserve">Objeto da presente licitação é a </w:t>
      </w:r>
      <w:r>
        <w:rPr>
          <w:b/>
          <w:iCs/>
          <w:sz w:val="22"/>
          <w:szCs w:val="22"/>
        </w:rPr>
        <w:t>CONTRATAÇÃO DE EMPRESA ESPECIALIZADA EXECUÇÃO DE OBRA PARA RECOMPOR INSTALAÇÕES ELÉTRICAS E MELHORAR O SISTEMA DE ILUMINAÇÃO DA PRAÇA PÚBLICA LOCALIZADA NA RUA TOM JOBIM, QUADRA 07 - BAIRRO JARDIM PARAÍSO II, CONFORME MEMORIAL DESCRITIVO, PARA ATENDER DEMANDA DA GER</w:t>
      </w:r>
      <w:r>
        <w:rPr>
          <w:rFonts w:hint="default"/>
          <w:b/>
          <w:iCs/>
          <w:sz w:val="22"/>
          <w:szCs w:val="22"/>
          <w:lang w:val="pt-BR"/>
        </w:rPr>
        <w:t>Ê</w:t>
      </w:r>
      <w:r>
        <w:rPr>
          <w:b/>
          <w:iCs/>
          <w:sz w:val="22"/>
          <w:szCs w:val="22"/>
        </w:rPr>
        <w:t>NCIA DE OBRAS DO MUNICÍPIO DE NAVIRAÍ/MS. PEDIDO DE SERVIÇOS Nº 257/2022.</w:t>
      </w:r>
    </w:p>
    <w:p>
      <w:pPr>
        <w:numPr>
          <w:ilvl w:val="0"/>
          <w:numId w:val="0"/>
        </w:numPr>
        <w:overflowPunct/>
        <w:spacing w:before="0" w:after="0" w:line="240" w:lineRule="auto"/>
        <w:ind w:leftChars="0" w:right="-1" w:rightChars="0"/>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4"/>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5"/>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5"/>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5"/>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5"/>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bookmarkStart w:id="0" w:name="_GoBack"/>
      <w:bookmarkEnd w:id="0"/>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008/2022</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11</w:t>
                      </w:r>
                      <w:r>
                        <w:rPr>
                          <w:rFonts w:ascii="Arial" w:hAnsi="Arial" w:cs="Arial"/>
                          <w:b/>
                          <w:iCs/>
                        </w:rPr>
                        <w:t>/</w:t>
                      </w:r>
                      <w:r>
                        <w:rPr>
                          <w:rFonts w:hint="default" w:ascii="Arial" w:hAnsi="Arial" w:cs="Arial"/>
                          <w:b/>
                          <w:iCs/>
                          <w:lang w:val="pt-BR"/>
                        </w:rPr>
                        <w:t>07</w:t>
                      </w:r>
                      <w:r>
                        <w:rPr>
                          <w:rFonts w:ascii="Arial" w:hAnsi="Arial" w:cs="Arial"/>
                          <w:b/>
                          <w:iCs/>
                        </w:rPr>
                        <w:t>/202</w:t>
                      </w:r>
                      <w:r>
                        <w:rPr>
                          <w:rFonts w:hint="default" w:ascii="Arial" w:hAnsi="Arial" w:cs="Arial"/>
                          <w:b/>
                          <w:iCs/>
                          <w:lang w:val="pt-BR"/>
                        </w:rPr>
                        <w:t>2</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15</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ind w:left="567" w:hanging="567"/>
        <w:jc w:val="both"/>
        <w:rPr>
          <w:rFonts w:eastAsia="Calibri"/>
          <w:sz w:val="22"/>
          <w:szCs w:val="22"/>
        </w:rPr>
      </w:pP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6"/>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7"/>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8"/>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7"/>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8</w:t>
      </w:r>
      <w:r>
        <w:rPr>
          <w:rFonts w:ascii="Times New Roman" w:hAnsi="Times New Roman" w:cs="Times New Roman"/>
          <w:b/>
          <w:sz w:val="22"/>
          <w:szCs w:val="22"/>
        </w:rPr>
        <w:t xml:space="preserve">h às </w:t>
      </w:r>
      <w:r>
        <w:rPr>
          <w:rFonts w:ascii="Times New Roman" w:hAnsi="Times New Roman" w:cs="Times New Roman"/>
          <w:b/>
          <w:sz w:val="22"/>
          <w:szCs w:val="22"/>
          <w:lang w:val="pt-BR"/>
        </w:rPr>
        <w:t>1</w:t>
      </w:r>
      <w:r>
        <w:rPr>
          <w:rFonts w:hint="default" w:ascii="Times New Roman" w:hAnsi="Times New Roman" w:cs="Times New Roman"/>
          <w:b/>
          <w:sz w:val="22"/>
          <w:szCs w:val="22"/>
          <w:lang w:val="pt-BR"/>
        </w:rPr>
        <w:t>1</w:t>
      </w:r>
      <w:r>
        <w:rPr>
          <w:rFonts w:ascii="Times New Roman" w:hAnsi="Times New Roman" w:cs="Times New Roman"/>
          <w:b/>
          <w:sz w:val="22"/>
          <w:szCs w:val="22"/>
          <w:lang w:val="pt-BR"/>
        </w:rPr>
        <w:t>h</w:t>
      </w:r>
      <w:r>
        <w:rPr>
          <w:rFonts w:hint="default" w:ascii="Times New Roman" w:hAnsi="Times New Roman" w:cs="Times New Roman"/>
          <w:b/>
          <w:sz w:val="22"/>
          <w:szCs w:val="22"/>
          <w:lang w:val="pt-BR"/>
        </w:rPr>
        <w:t xml:space="preserve"> das 13h às 17h</w:t>
      </w:r>
      <w:r>
        <w:rPr>
          <w:rFonts w:ascii="Times New Roman" w:hAnsi="Times New Roman" w:cs="Times New Roman"/>
          <w:b/>
          <w:sz w:val="22"/>
          <w:szCs w:val="22"/>
        </w:rPr>
        <w:t>.</w:t>
      </w:r>
      <w:r>
        <w:rPr>
          <w:rFonts w:ascii="Times New Roman" w:hAnsi="Times New Roman" w:cs="Times New Roman"/>
          <w:sz w:val="22"/>
          <w:szCs w:val="22"/>
        </w:rPr>
        <w:t xml:space="preserve"> </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9"/>
        </w:numPr>
        <w:overflowPunct/>
        <w:spacing w:before="20" w:after="0" w:line="240" w:lineRule="auto"/>
        <w:ind w:left="567" w:hanging="567"/>
        <w:jc w:val="both"/>
        <w:textAlignment w:val="baseline"/>
        <w:rPr>
          <w:rFonts w:eastAsia="Times New Roman"/>
          <w:color w:val="000000"/>
          <w:sz w:val="22"/>
          <w:szCs w:val="22"/>
          <w:lang w:eastAsia="pt-BR"/>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 Arquitetura– 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6.1.2.1.1 Certidão/Registro do Profissional pessoa física, que efetivamente atuará como Responsável Técnico da obra, no Conselho Regional de Engenharia, Arquitetura – CREA/CAU</w:t>
      </w:r>
      <w:r>
        <w:rPr>
          <w:rFonts w:hint="default" w:ascii="Times New Roman" w:hAnsi="Times New Roman" w:cs="Times New Roman"/>
          <w:sz w:val="22"/>
          <w:szCs w:val="22"/>
          <w:lang w:val="pt-BR"/>
        </w:rPr>
        <w:t>/CFT</w:t>
      </w:r>
      <w:r>
        <w:rPr>
          <w:rFonts w:ascii="Times New Roman" w:hAnsi="Times New Roman" w:cs="Times New Roman"/>
          <w:sz w:val="22"/>
          <w:szCs w:val="22"/>
        </w:rPr>
        <w:t>, caso o profissional indicado não esteja relacionado como responsável técnico da empresa perante os conselhos de CREA/CAU</w:t>
      </w:r>
      <w:r>
        <w:rPr>
          <w:rFonts w:hint="default" w:ascii="Times New Roman" w:hAnsi="Times New Roman" w:cs="Times New Roman"/>
          <w:sz w:val="22"/>
          <w:szCs w:val="22"/>
          <w:lang w:val="pt-BR"/>
        </w:rPr>
        <w:t>/CFT</w:t>
      </w:r>
      <w:r>
        <w:rPr>
          <w:rFonts w:ascii="Times New Roman" w:hAnsi="Times New Roman" w:cs="Times New Roman"/>
          <w:sz w:val="22"/>
          <w:szCs w:val="22"/>
        </w:rPr>
        <w:t xml:space="preserve">,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numPr>
          <w:ilvl w:val="0"/>
          <w:numId w:val="10"/>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10"/>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10"/>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10"/>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11"/>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10"/>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ascii="Times New Roman" w:hAnsi="Times New Roman" w:cs="Times New Roman"/>
          <w:spacing w:val="-3"/>
          <w:sz w:val="22"/>
          <w:szCs w:val="22"/>
        </w:rPr>
      </w:pPr>
      <w:r>
        <w:rPr>
          <w:rFonts w:ascii="Times New Roman" w:hAnsi="Times New Roman" w:cs="Times New Roman"/>
          <w:sz w:val="22"/>
          <w:szCs w:val="22"/>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p>
    <w:p>
      <w:pPr>
        <w:pStyle w:val="64"/>
        <w:shd w:val="clear" w:color="auto" w:fill="F2F2F2"/>
        <w:ind w:left="851" w:hanging="851"/>
        <w:jc w:val="both"/>
        <w:rPr>
          <w:rFonts w:ascii="Times New Roman" w:hAnsi="Times New Roman" w:cs="Times New Roman"/>
          <w:spacing w:val="-3"/>
          <w:sz w:val="22"/>
          <w:szCs w:val="22"/>
        </w:rPr>
      </w:pPr>
    </w:p>
    <w:p>
      <w:pPr>
        <w:numPr>
          <w:ilvl w:val="0"/>
          <w:numId w:val="0"/>
        </w:numPr>
        <w:overflowPunct/>
        <w:spacing w:before="0" w:after="0" w:line="240" w:lineRule="auto"/>
        <w:ind w:leftChars="0"/>
        <w:jc w:val="both"/>
        <w:textAlignment w:val="baseline"/>
        <w:rPr>
          <w:rFonts w:hint="default"/>
          <w:b/>
          <w:sz w:val="28"/>
          <w:szCs w:val="28"/>
          <w:lang w:val="pt-BR"/>
        </w:rPr>
      </w:pPr>
    </w:p>
    <w:p>
      <w:pPr>
        <w:overflowPunct/>
        <w:spacing w:before="0" w:after="0" w:line="240" w:lineRule="auto"/>
        <w:ind w:left="720" w:firstLine="0"/>
        <w:jc w:val="both"/>
        <w:textAlignment w:val="baseline"/>
        <w:rPr>
          <w:rFonts w:hint="default"/>
          <w:b/>
          <w:sz w:val="22"/>
          <w:szCs w:val="22"/>
          <w:lang w:val="pt-BR"/>
        </w:rPr>
      </w:pPr>
    </w:p>
    <w:p>
      <w:pPr>
        <w:ind w:right="-1" w:firstLine="0"/>
        <w:jc w:val="both"/>
        <w:rPr>
          <w:iCs/>
          <w:sz w:val="22"/>
          <w:szCs w:val="22"/>
        </w:rPr>
      </w:pPr>
      <w:r>
        <w:rPr>
          <w:iCs/>
          <w:sz w:val="22"/>
          <w:szCs w:val="22"/>
        </w:rPr>
        <w:t>6.1.2.1.3 Somente será (ão) aceito (s) atestado (s) fornecido por pessoas jurídicas de direito público ou privado, devidamente certificados pelo CREA/CAU da região onde foram executados os serviços;</w:t>
      </w:r>
    </w:p>
    <w:p>
      <w:pPr>
        <w:ind w:right="-1" w:firstLine="0"/>
        <w:jc w:val="both"/>
        <w:rPr>
          <w:iCs/>
          <w:sz w:val="22"/>
          <w:szCs w:val="22"/>
        </w:rPr>
      </w:pPr>
      <w:r>
        <w:rPr>
          <w:iCs/>
          <w:sz w:val="22"/>
          <w:szCs w:val="22"/>
        </w:rPr>
        <w:t xml:space="preserve">6.1.2.1.4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6.1.2.1.2.</w:t>
      </w:r>
    </w:p>
    <w:p>
      <w:pPr>
        <w:ind w:right="-1" w:firstLine="0"/>
        <w:jc w:val="both"/>
        <w:rPr>
          <w:iCs/>
          <w:sz w:val="22"/>
          <w:szCs w:val="22"/>
        </w:rPr>
      </w:pPr>
      <w:r>
        <w:rPr>
          <w:iCs/>
          <w:sz w:val="22"/>
          <w:szCs w:val="22"/>
        </w:rPr>
        <w:t xml:space="preserve">6.1.2.1.5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10"/>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10"/>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10"/>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10"/>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10"/>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jc w:val="both"/>
        <w:rPr>
          <w:sz w:val="22"/>
          <w:szCs w:val="22"/>
        </w:rPr>
      </w:pP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3"/>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4"/>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5"/>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R$</w:t>
      </w:r>
      <w:r>
        <w:rPr>
          <w:rFonts w:hint="default" w:eastAsia="Times New Roman"/>
          <w:b/>
          <w:bCs/>
          <w:iCs/>
          <w:sz w:val="22"/>
          <w:szCs w:val="22"/>
          <w:lang w:val="en-US" w:eastAsia="pt-BR"/>
        </w:rPr>
        <w:t xml:space="preserve"> 97.700,94</w:t>
      </w:r>
      <w:r>
        <w:rPr>
          <w:rFonts w:eastAsia="Times New Roman"/>
          <w:b/>
          <w:bCs/>
          <w:iCs/>
          <w:sz w:val="22"/>
          <w:szCs w:val="22"/>
          <w:lang w:eastAsia="pt-BR"/>
        </w:rPr>
        <w:t xml:space="preserve"> (</w:t>
      </w:r>
      <w:r>
        <w:rPr>
          <w:rFonts w:hint="default" w:eastAsia="Times New Roman"/>
          <w:b/>
          <w:bCs/>
          <w:iCs/>
          <w:sz w:val="22"/>
          <w:szCs w:val="22"/>
          <w:lang w:val="en-US" w:eastAsia="pt-BR"/>
        </w:rPr>
        <w:t>noventa e sete mil setecentos reais e noventa e quatro centavos</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7"/>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sz w:val="22"/>
          <w:szCs w:val="22"/>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da obra, objeto desta licitação, será de </w:t>
      </w:r>
      <w:r>
        <w:rPr>
          <w:rFonts w:hint="default"/>
          <w:b/>
          <w:bCs/>
          <w:sz w:val="22"/>
          <w:szCs w:val="22"/>
          <w:lang w:val="pt-BR"/>
        </w:rPr>
        <w:t>60</w:t>
      </w:r>
      <w:r>
        <w:rPr>
          <w:b/>
          <w:sz w:val="22"/>
          <w:szCs w:val="22"/>
        </w:rPr>
        <w:t xml:space="preserve"> (</w:t>
      </w:r>
      <w:r>
        <w:rPr>
          <w:rFonts w:hint="default"/>
          <w:b/>
          <w:sz w:val="22"/>
          <w:szCs w:val="22"/>
          <w:lang w:val="pt-BR"/>
        </w:rPr>
        <w:t>sessenta</w:t>
      </w:r>
      <w:r>
        <w:rPr>
          <w:b/>
          <w:sz w:val="22"/>
          <w:szCs w:val="22"/>
        </w:rPr>
        <w:t>) dias</w:t>
      </w:r>
      <w:r>
        <w:rPr>
          <w:sz w:val="22"/>
          <w:szCs w:val="22"/>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120</w:t>
      </w:r>
      <w:r>
        <w:rPr>
          <w:b/>
          <w:iCs/>
          <w:sz w:val="22"/>
          <w:szCs w:val="22"/>
        </w:rPr>
        <w:t xml:space="preserve"> </w:t>
      </w:r>
      <w:r>
        <w:rPr>
          <w:b/>
          <w:sz w:val="22"/>
          <w:szCs w:val="22"/>
        </w:rPr>
        <w:t>(</w:t>
      </w:r>
      <w:r>
        <w:rPr>
          <w:rFonts w:hint="default"/>
          <w:b/>
          <w:sz w:val="22"/>
          <w:szCs w:val="22"/>
          <w:lang w:val="pt-BR"/>
        </w:rPr>
        <w:t>cento e vinte</w:t>
      </w:r>
      <w:r>
        <w:rPr>
          <w:b/>
          <w:sz w:val="22"/>
          <w:szCs w:val="22"/>
        </w:rPr>
        <w:t xml:space="preserve">) </w:t>
      </w:r>
      <w:r>
        <w:rPr>
          <w:sz w:val="22"/>
          <w:szCs w:val="22"/>
        </w:rPr>
        <w:t>dias</w:t>
      </w:r>
      <w:r>
        <w:rPr>
          <w:iCs/>
          <w:sz w:val="22"/>
          <w:szCs w:val="22"/>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rFonts w:hint="default"/>
          <w:iCs/>
          <w:sz w:val="22"/>
          <w:szCs w:val="22"/>
          <w:lang w:val="pt-BR"/>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w:t>
      </w:r>
      <w:r>
        <w:rPr>
          <w:rFonts w:hint="default"/>
          <w:iCs/>
          <w:sz w:val="22"/>
          <w:szCs w:val="22"/>
          <w:lang w:val="pt-BR"/>
        </w:rPr>
        <w:t>DRT (documento de Responsabilidade Técnica, ART, RRT ou TRT conforme conselho competente) de Execução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 xml:space="preserve">O pagamento da última medição ou o valor mínimo de 20% sobre o montante da obra estará condicionado obrigatoriamente à apresentação da Certidão Negativa de Débito </w:t>
      </w:r>
      <w:r>
        <w:rPr>
          <w:rFonts w:hint="default"/>
          <w:iCs/>
          <w:sz w:val="22"/>
          <w:szCs w:val="22"/>
          <w:lang w:val="pt-BR"/>
        </w:rPr>
        <w:t>do CNO</w:t>
      </w:r>
      <w:r>
        <w:rPr>
          <w:iCs/>
          <w:sz w:val="22"/>
          <w:szCs w:val="22"/>
        </w:rPr>
        <w:t xml:space="preserve">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5"/>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5"/>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w:t>
      </w:r>
      <w:r>
        <w:rPr>
          <w:rFonts w:hint="default"/>
          <w:iCs/>
          <w:sz w:val="22"/>
          <w:szCs w:val="22"/>
          <w:lang w:val="pt-BR"/>
        </w:rPr>
        <w:t>NO</w:t>
      </w:r>
      <w:r>
        <w:rPr>
          <w:iCs/>
          <w:sz w:val="22"/>
          <w:szCs w:val="22"/>
        </w:rPr>
        <w:t xml:space="preserve">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w:t>
      </w:r>
      <w:r>
        <w:rPr>
          <w:rFonts w:hint="default"/>
          <w:iCs/>
          <w:sz w:val="22"/>
          <w:szCs w:val="22"/>
          <w:lang w:val="pt-BR"/>
        </w:rPr>
        <w:t>NO</w:t>
      </w:r>
      <w:r>
        <w:rPr>
          <w:iCs/>
          <w:sz w:val="22"/>
          <w:szCs w:val="22"/>
        </w:rPr>
        <w:t>)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13.1</w:t>
      </w:r>
      <w:r>
        <w:rPr>
          <w:rFonts w:eastAsia="Times New Roman"/>
          <w:iCs/>
          <w:sz w:val="22"/>
          <w:szCs w:val="22"/>
          <w:lang w:eastAsia="pt-BR"/>
        </w:rPr>
        <w:tab/>
      </w:r>
      <w:r>
        <w:rPr>
          <w:rFonts w:eastAsia="Times New Roman"/>
          <w:iCs/>
          <w:sz w:val="22"/>
          <w:szCs w:val="22"/>
          <w:lang w:eastAsia="pt-BR"/>
        </w:rPr>
        <w:t xml:space="preserve">Os recursos financeiros para o cumprimento das obrigações constantes neste edital serão oriundos do saldo </w:t>
      </w:r>
      <w:r>
        <w:rPr>
          <w:rFonts w:eastAsia="Times New Roman"/>
          <w:iCs/>
          <w:sz w:val="22"/>
          <w:szCs w:val="22"/>
          <w:lang w:val="en-US" w:eastAsia="pt-BR"/>
        </w:rPr>
        <w:t>de Recursos Próprios</w:t>
      </w:r>
      <w:r>
        <w:rPr>
          <w:rFonts w:eastAsia="Times New Roman"/>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szCs w:val="22"/>
          <w:lang w:val="en-US" w:eastAsia="pt-BR"/>
        </w:rPr>
      </w:pPr>
      <w:r>
        <w:rPr>
          <w:rFonts w:hint="default" w:eastAsia="Times New Roman"/>
          <w:b/>
          <w:iCs/>
          <w:sz w:val="22"/>
          <w:szCs w:val="22"/>
          <w:lang w:val="en-US" w:eastAsia="pt-BR"/>
        </w:rPr>
        <w:t>GERÊNCIA DE SERVIÇOS PÚBLICOS</w:t>
      </w:r>
      <w:r>
        <w:rPr>
          <w:rFonts w:eastAsia="Times New Roman"/>
          <w:b/>
          <w:iCs/>
          <w:sz w:val="22"/>
          <w:szCs w:val="22"/>
          <w:lang w:eastAsia="pt-BR"/>
        </w:rPr>
        <w:t xml:space="preserve"> – </w:t>
      </w:r>
      <w:r>
        <w:rPr>
          <w:rFonts w:hint="default" w:eastAsia="Times New Roman"/>
          <w:b/>
          <w:iCs/>
          <w:sz w:val="22"/>
          <w:szCs w:val="22"/>
          <w:lang w:val="en-US" w:eastAsia="pt-BR"/>
        </w:rPr>
        <w:t>COSIP</w:t>
      </w:r>
      <w:r>
        <w:rPr>
          <w:rFonts w:eastAsia="Times New Roman"/>
          <w:b/>
          <w:iCs/>
          <w:sz w:val="22"/>
          <w:szCs w:val="22"/>
          <w:lang w:eastAsia="pt-BR"/>
        </w:rPr>
        <w:t xml:space="preserve"> - DOTAÇÃO ORÇAMENTÁRIA: </w:t>
      </w:r>
      <w:r>
        <w:rPr>
          <w:rFonts w:hint="default" w:eastAsia="Times New Roman"/>
          <w:b/>
          <w:iCs/>
          <w:sz w:val="22"/>
          <w:szCs w:val="22"/>
          <w:lang w:val="en-US" w:eastAsia="pt-BR"/>
        </w:rPr>
        <w:t>01.14.25.751.0401.2.067-44.90.51.00.00.00 (R 4583).</w:t>
      </w: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3"/>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firstLine="0"/>
        <w:jc w:val="both"/>
        <w:rPr>
          <w:iCs/>
          <w:sz w:val="22"/>
          <w:szCs w:val="22"/>
        </w:rPr>
      </w:pP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22"/>
          <w:szCs w:val="22"/>
        </w:rPr>
      </w:pP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03 (três) dias úteis</w:t>
      </w:r>
      <w:r>
        <w:rPr>
          <w:sz w:val="22"/>
          <w:szCs w:val="22"/>
        </w:rPr>
        <w:t>, contados a partir da publicação, para assinatura do referido documento.</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sz w:val="22"/>
          <w:szCs w:val="22"/>
        </w:rPr>
      </w:pPr>
      <w:r>
        <w:rPr>
          <w:sz w:val="22"/>
          <w:szCs w:val="22"/>
        </w:rPr>
        <w:t>15.3</w:t>
      </w:r>
      <w:r>
        <w:rPr>
          <w:sz w:val="22"/>
          <w:szCs w:val="22"/>
        </w:rPr>
        <w:tab/>
      </w:r>
      <w:r>
        <w:rPr>
          <w:sz w:val="22"/>
          <w:szCs w:val="22"/>
        </w:rPr>
        <w:t xml:space="preserve">O prazo estipulado no subitem </w:t>
      </w:r>
      <w:r>
        <w:rPr>
          <w:b/>
          <w:color w:val="FF0000"/>
          <w:sz w:val="22"/>
          <w:szCs w:val="22"/>
        </w:rPr>
        <w:t>15.2</w:t>
      </w:r>
      <w:r>
        <w:rPr>
          <w:sz w:val="22"/>
          <w:szCs w:val="22"/>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sz w:val="22"/>
          <w:szCs w:val="22"/>
        </w:rPr>
      </w:pPr>
      <w:r>
        <w:rPr>
          <w:sz w:val="22"/>
          <w:szCs w:val="22"/>
        </w:rPr>
        <w:t>15.4</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15.5</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15.6</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p>
    <w:p>
      <w:pPr>
        <w:tabs>
          <w:tab w:val="left" w:pos="-7088"/>
          <w:tab w:val="left" w:pos="712"/>
        </w:tabs>
        <w:ind w:left="567" w:right="-1" w:hanging="567"/>
        <w:jc w:val="both"/>
        <w:rPr>
          <w:iCs/>
          <w:sz w:val="22"/>
          <w:szCs w:val="22"/>
        </w:rPr>
      </w:pPr>
      <w:r>
        <w:rPr>
          <w:iCs/>
          <w:sz w:val="22"/>
          <w:szCs w:val="22"/>
        </w:rPr>
        <w:t>15.7</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22"/>
          <w:szCs w:val="22"/>
        </w:rPr>
      </w:pP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tabs>
          <w:tab w:val="left" w:pos="-7088"/>
        </w:tabs>
        <w:ind w:left="567" w:right="-1" w:hanging="567"/>
        <w:jc w:val="both"/>
        <w:rPr>
          <w:b/>
          <w:bCs/>
          <w:iCs/>
          <w:sz w:val="22"/>
          <w:szCs w:val="22"/>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ind w:left="142" w:right="-1" w:firstLine="0"/>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1267" w:right="-1" w:firstLine="0"/>
        <w:jc w:val="both"/>
        <w:rPr>
          <w:b/>
          <w:bCs/>
          <w:iCs/>
          <w:sz w:val="22"/>
          <w:szCs w:val="22"/>
        </w:rPr>
      </w:pP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tabs>
          <w:tab w:val="left" w:pos="5954"/>
        </w:tabs>
        <w:ind w:left="142" w:right="-1" w:firstLine="0"/>
        <w:jc w:val="both"/>
        <w:rPr>
          <w:iCs/>
          <w:sz w:val="22"/>
          <w:szCs w:val="22"/>
        </w:rPr>
      </w:pP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22"/>
          <w:szCs w:val="22"/>
        </w:rPr>
      </w:pP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22"/>
          <w:szCs w:val="22"/>
        </w:rPr>
      </w:pP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0"/>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0"/>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Memnorial Descritivo;</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Resumo da Obra;</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Planilha Orçamentária;</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Quadro de Composição do BDI;</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Composições;</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Memória de Cálculo;</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Cronograma Físico-Financeiro;</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ART nº 1320220065840;</w:t>
      </w:r>
    </w:p>
    <w:p>
      <w:pPr>
        <w:numPr>
          <w:ilvl w:val="0"/>
          <w:numId w:val="32"/>
        </w:numPr>
        <w:tabs>
          <w:tab w:val="left" w:pos="-4962"/>
          <w:tab w:val="left" w:pos="786"/>
        </w:tabs>
        <w:overflowPunct/>
        <w:spacing w:before="0" w:after="0" w:line="240" w:lineRule="auto"/>
        <w:ind w:left="851" w:right="-1" w:hanging="284"/>
        <w:jc w:val="both"/>
        <w:textAlignment w:val="baseline"/>
        <w:rPr>
          <w:sz w:val="22"/>
          <w:szCs w:val="22"/>
        </w:rPr>
      </w:pPr>
      <w:r>
        <w:rPr>
          <w:rFonts w:hint="default"/>
          <w:sz w:val="22"/>
          <w:szCs w:val="22"/>
          <w:lang w:val="pt-BR"/>
        </w:rPr>
        <w:t>Projeto Elétrico;</w:t>
      </w:r>
    </w:p>
    <w:p>
      <w:pPr>
        <w:numPr>
          <w:ilvl w:val="0"/>
          <w:numId w:val="0"/>
        </w:numPr>
        <w:tabs>
          <w:tab w:val="left" w:pos="-4962"/>
          <w:tab w:val="left" w:pos="786"/>
        </w:tabs>
        <w:overflowPunct/>
        <w:spacing w:before="0" w:after="0" w:line="240" w:lineRule="auto"/>
        <w:ind w:left="567" w:leftChars="0" w:right="-1" w:rightChars="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Adriano Hilário Talarico Soletti</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Decreto nº. 0</w:t>
      </w:r>
      <w:r>
        <w:rPr>
          <w:rFonts w:hint="default"/>
          <w:sz w:val="22"/>
          <w:szCs w:val="22"/>
          <w:lang w:val="pt-BR"/>
        </w:rPr>
        <w:t>34</w:t>
      </w:r>
      <w:r>
        <w:rPr>
          <w:sz w:val="22"/>
          <w:szCs w:val="22"/>
        </w:rPr>
        <w:t>/202</w:t>
      </w:r>
      <w:r>
        <w:rPr>
          <w:rFonts w:hint="default"/>
          <w:sz w:val="22"/>
          <w:szCs w:val="22"/>
          <w:lang w:val="pt-BR"/>
        </w:rPr>
        <w:t>1</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21</w:t>
      </w:r>
      <w:r>
        <w:rPr>
          <w:rFonts w:eastAsia="Times New Roman"/>
          <w:iCs/>
          <w:sz w:val="22"/>
          <w:szCs w:val="22"/>
          <w:lang w:eastAsia="pt-BR"/>
        </w:rPr>
        <w:t xml:space="preserve"> de </w:t>
      </w:r>
      <w:r>
        <w:rPr>
          <w:rFonts w:hint="default" w:eastAsia="Times New Roman"/>
          <w:iCs/>
          <w:sz w:val="22"/>
          <w:szCs w:val="22"/>
          <w:lang w:val="en-US" w:eastAsia="pt-BR"/>
        </w:rPr>
        <w:t>junho</w:t>
      </w:r>
      <w:r>
        <w:rPr>
          <w:rFonts w:eastAsia="Times New Roman"/>
          <w:iCs/>
          <w:sz w:val="22"/>
          <w:szCs w:val="22"/>
          <w:lang w:eastAsia="pt-BR"/>
        </w:rPr>
        <w:t xml:space="preserve"> de 202</w:t>
      </w:r>
      <w:r>
        <w:rPr>
          <w:rFonts w:hint="default" w:eastAsia="Times New Roman"/>
          <w:iCs/>
          <w:sz w:val="22"/>
          <w:szCs w:val="22"/>
          <w:lang w:val="en-US" w:eastAsia="pt-BR"/>
        </w:rPr>
        <w:t>2</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Adriano Hilário Talarico Soletti</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Conforme Decreto nº 0</w:t>
      </w:r>
      <w:r>
        <w:rPr>
          <w:rFonts w:hint="default" w:eastAsia="Times New Roman"/>
          <w:bCs/>
          <w:color w:val="000000"/>
          <w:sz w:val="22"/>
          <w:szCs w:val="22"/>
          <w:lang w:val="en-US" w:eastAsia="pt-BR"/>
        </w:rPr>
        <w:t>34</w:t>
      </w:r>
      <w:r>
        <w:rPr>
          <w:rFonts w:eastAsia="Times New Roman"/>
          <w:bCs/>
          <w:color w:val="000000"/>
          <w:sz w:val="22"/>
          <w:szCs w:val="22"/>
          <w:lang w:eastAsia="pt-BR"/>
        </w:rPr>
        <w:t>/202</w:t>
      </w:r>
      <w:r>
        <w:rPr>
          <w:rFonts w:hint="default" w:eastAsia="Times New Roman"/>
          <w:bCs/>
          <w:color w:val="000000"/>
          <w:sz w:val="22"/>
          <w:szCs w:val="22"/>
          <w:lang w:val="en-US" w:eastAsia="pt-BR"/>
        </w:rPr>
        <w:t>1</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2</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b/>
          <w:sz w:val="22"/>
          <w:szCs w:val="22"/>
          <w:u w:val="single"/>
        </w:rPr>
        <w:t>Fabiano Costa,</w:t>
      </w:r>
      <w:r>
        <w:rPr>
          <w:iCs/>
          <w:sz w:val="24"/>
          <w:szCs w:val="24"/>
        </w:rPr>
        <w:t xml:space="preserve"> </w:t>
      </w:r>
      <w:r>
        <w:rPr>
          <w:sz w:val="22"/>
          <w:szCs w:val="22"/>
        </w:rPr>
        <w:t>Gerente de Serviços Públicos e Ordenador de Despesas conforme Decreto nº. 109/2021, brasileiro, portador do CPF/MF nº 614.816.101-04 e Cédula de Identidade RG 53534597 SSP/PR, residente e domiciliado nesta cidade, à Avenida Dourados, 989 – Centro</w:t>
      </w:r>
      <w:r>
        <w:rPr>
          <w:rFonts w:hint="default"/>
          <w:sz w:val="22"/>
          <w:szCs w:val="22"/>
          <w:lang w:val="pt-BR"/>
        </w:rPr>
        <w:t>;</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145/2022</w:t>
      </w:r>
      <w:r>
        <w:rPr>
          <w:sz w:val="22"/>
          <w:szCs w:val="22"/>
        </w:rPr>
        <w:t xml:space="preserve">, gerado pela </w:t>
      </w:r>
      <w:r>
        <w:rPr>
          <w:b/>
          <w:sz w:val="22"/>
          <w:szCs w:val="22"/>
        </w:rPr>
        <w:t xml:space="preserve">Tomada de Preços nº. </w:t>
      </w:r>
      <w:r>
        <w:rPr>
          <w:b/>
          <w:sz w:val="22"/>
          <w:szCs w:val="22"/>
          <w:lang w:val="pt-BR"/>
        </w:rPr>
        <w:t>008/2022</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EXECUÇÃO DE OBRA PARA RECOMPOR INSTALAÇÕES ELÉTRICAS E MELHORAR O SISTEMA DE ILUMINAÇÃO DA PRAÇA PÚBLICA LOCALIZADA NA RUA TOM JOBIM, QUADRA 07 - BAIRRO JARDIM PARAÍSO II, CONFORME MEMORIAL DESCRITIVO, PARA ATENDER DEMANDA DA GERENCIA DE OBRAS DO MUNICÍPIO DE NAVIRAÍ/MS. PEDIDO DE SERVIÇOS Nº 257/2022</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145/2022</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008/2022</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34"/>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4"/>
        </w:numPr>
        <w:spacing w:before="0" w:after="0" w:line="240" w:lineRule="auto"/>
        <w:ind w:left="567" w:hanging="360"/>
        <w:jc w:val="both"/>
        <w:rPr>
          <w:iCs/>
          <w:sz w:val="22"/>
          <w:szCs w:val="22"/>
        </w:rPr>
      </w:pPr>
      <w:r>
        <w:rPr>
          <w:iCs/>
          <w:sz w:val="22"/>
          <w:szCs w:val="22"/>
        </w:rPr>
        <w:t>Seguro-garantia;</w:t>
      </w:r>
    </w:p>
    <w:p>
      <w:pPr>
        <w:numPr>
          <w:ilvl w:val="0"/>
          <w:numId w:val="34"/>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ind w:left="567" w:hanging="1"/>
        <w:jc w:val="both"/>
        <w:rPr>
          <w:iCs/>
          <w:sz w:val="22"/>
          <w:szCs w:val="22"/>
        </w:rPr>
      </w:pP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3"/>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w:t>
      </w:r>
      <w:r>
        <w:rPr>
          <w:rFonts w:hint="default"/>
          <w:iCs/>
          <w:sz w:val="22"/>
          <w:szCs w:val="22"/>
          <w:lang w:val="pt-BR"/>
        </w:rPr>
        <w:t>DRT (documento de Responsabilidade Técnica, ART, RRT ou TRT conforme conselho competente) de Execução para início da obra;</w:t>
      </w:r>
      <w:r>
        <w:rPr>
          <w:iCs/>
          <w:sz w:val="22"/>
          <w:szCs w:val="22"/>
        </w:rPr>
        <w:t>.</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w:t>
      </w:r>
      <w:r>
        <w:rPr>
          <w:rFonts w:hint="default"/>
          <w:iCs/>
          <w:sz w:val="22"/>
          <w:szCs w:val="22"/>
          <w:lang w:val="pt-BR"/>
        </w:rPr>
        <w:t>CNO</w:t>
      </w:r>
      <w:r>
        <w:rPr>
          <w:iCs/>
          <w:sz w:val="22"/>
          <w:szCs w:val="22"/>
        </w:rPr>
        <w:t>) junto ao INSS onde deverá constar no campo “identificação” na Ficha cadastral do INSS (C</w:t>
      </w:r>
      <w:r>
        <w:rPr>
          <w:rFonts w:hint="default"/>
          <w:iCs/>
          <w:sz w:val="22"/>
          <w:szCs w:val="22"/>
          <w:lang w:val="pt-BR"/>
        </w:rPr>
        <w:t>NO</w:t>
      </w:r>
      <w:r>
        <w:rPr>
          <w:iCs/>
          <w:sz w:val="22"/>
          <w:szCs w:val="22"/>
        </w:rPr>
        <w:t>) o nome da “Prefeitura Municipal de Naviraí”.</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Deverá constar em todas as notas fiscais emitidas para cada medição, o número da matrícula do C</w:t>
      </w:r>
      <w:r>
        <w:rPr>
          <w:rFonts w:hint="default"/>
          <w:iCs/>
          <w:sz w:val="22"/>
          <w:szCs w:val="22"/>
          <w:lang w:val="pt-BR"/>
        </w:rPr>
        <w:t>NO</w:t>
      </w:r>
      <w:r>
        <w:rPr>
          <w:iCs/>
          <w:sz w:val="22"/>
          <w:szCs w:val="22"/>
        </w:rPr>
        <w:t xml:space="preserve">. </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w:t>
      </w:r>
      <w:r>
        <w:rPr>
          <w:rFonts w:hint="default"/>
          <w:iCs/>
          <w:sz w:val="22"/>
          <w:szCs w:val="22"/>
          <w:lang w:val="pt-BR"/>
        </w:rPr>
        <w:t>NO</w:t>
      </w:r>
      <w:r>
        <w:rPr>
          <w:iCs/>
          <w:sz w:val="22"/>
          <w:szCs w:val="22"/>
        </w:rPr>
        <w:t>, com o valor mínimo de 20% sobre o montante da Obra.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ind w:left="142"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Certidão Negativa Final da Obra (C</w:t>
      </w:r>
      <w:r>
        <w:rPr>
          <w:rFonts w:hint="default"/>
          <w:iCs/>
          <w:sz w:val="22"/>
          <w:szCs w:val="22"/>
          <w:lang w:val="pt-BR"/>
        </w:rPr>
        <w:t>NO</w:t>
      </w:r>
      <w:r>
        <w:rPr>
          <w:iCs/>
          <w:sz w:val="22"/>
          <w:szCs w:val="22"/>
        </w:rPr>
        <w:t>)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 do</w:t>
      </w:r>
      <w:r>
        <w:rPr>
          <w:rFonts w:hint="default"/>
          <w:iCs/>
          <w:sz w:val="22"/>
          <w:szCs w:val="22"/>
          <w:lang w:val="en-US" w:eastAsia="pt-BR"/>
        </w:rPr>
        <w:t xml:space="preserve"> </w:t>
      </w:r>
      <w:r>
        <w:rPr>
          <w:iCs/>
          <w:sz w:val="22"/>
          <w:szCs w:val="22"/>
          <w:lang w:eastAsia="pt-BR"/>
        </w:rPr>
        <w:t xml:space="preserve">saldo </w:t>
      </w:r>
      <w:r>
        <w:rPr>
          <w:iCs/>
          <w:sz w:val="22"/>
          <w:szCs w:val="22"/>
          <w:lang w:val="en-US" w:eastAsia="pt-BR"/>
        </w:rPr>
        <w:t xml:space="preserve">de Recursos Próprios da </w:t>
      </w:r>
      <w:r>
        <w:rPr>
          <w:rFonts w:hint="default"/>
          <w:iCs/>
          <w:sz w:val="22"/>
          <w:szCs w:val="22"/>
          <w:lang w:val="en-US" w:eastAsia="pt-BR"/>
        </w:rPr>
        <w:t>Gerência de Saúde</w:t>
      </w:r>
      <w:r>
        <w:rPr>
          <w:iCs/>
          <w:sz w:val="22"/>
          <w:szCs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keepNext/>
        <w:keepLines/>
        <w:widowControl w:val="0"/>
        <w:numPr>
          <w:ilvl w:val="0"/>
          <w:numId w:val="37"/>
        </w:numPr>
        <w:spacing w:before="20" w:after="200"/>
        <w:ind w:left="420" w:leftChars="0" w:hanging="420" w:firstLineChars="0"/>
        <w:jc w:val="both"/>
        <w:rPr>
          <w:rFonts w:hint="default" w:eastAsia="Times New Roman"/>
          <w:b/>
          <w:iCs/>
          <w:sz w:val="22"/>
          <w:szCs w:val="22"/>
          <w:lang w:val="en-US" w:eastAsia="pt-BR"/>
        </w:rPr>
      </w:pPr>
      <w:r>
        <w:rPr>
          <w:rFonts w:hint="default" w:eastAsia="Times New Roman"/>
          <w:b/>
          <w:iCs/>
          <w:sz w:val="22"/>
          <w:szCs w:val="22"/>
          <w:lang w:val="en-US" w:eastAsia="pt-BR"/>
        </w:rPr>
        <w:t>GERÊNCIA DE SERVIÇOS PÚBLICOS</w:t>
      </w:r>
      <w:r>
        <w:rPr>
          <w:rFonts w:eastAsia="Times New Roman"/>
          <w:b/>
          <w:iCs/>
          <w:sz w:val="22"/>
          <w:szCs w:val="22"/>
          <w:lang w:eastAsia="pt-BR"/>
        </w:rPr>
        <w:t xml:space="preserve"> – </w:t>
      </w:r>
      <w:r>
        <w:rPr>
          <w:rFonts w:hint="default" w:eastAsia="Times New Roman"/>
          <w:b/>
          <w:iCs/>
          <w:sz w:val="22"/>
          <w:szCs w:val="22"/>
          <w:lang w:val="en-US" w:eastAsia="pt-BR"/>
        </w:rPr>
        <w:t>COSIP</w:t>
      </w:r>
      <w:r>
        <w:rPr>
          <w:rFonts w:eastAsia="Times New Roman"/>
          <w:b/>
          <w:iCs/>
          <w:sz w:val="22"/>
          <w:szCs w:val="22"/>
          <w:lang w:eastAsia="pt-BR"/>
        </w:rPr>
        <w:t xml:space="preserve"> - DOTAÇÃO ORÇAMENTÁRIA: </w:t>
      </w:r>
      <w:r>
        <w:rPr>
          <w:rFonts w:hint="default" w:eastAsia="Times New Roman"/>
          <w:b/>
          <w:iCs/>
          <w:sz w:val="22"/>
          <w:szCs w:val="22"/>
          <w:lang w:val="en-US" w:eastAsia="pt-BR"/>
        </w:rPr>
        <w:t>01.14.25.751.0401.2.067-44.90.51.00.00.00 (R 4583).</w:t>
      </w: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sz w:val="22"/>
          <w:szCs w:val="22"/>
        </w:rPr>
      </w:pPr>
      <w:r>
        <w:rPr>
          <w:sz w:val="22"/>
          <w:szCs w:val="22"/>
        </w:rPr>
        <w:t xml:space="preserve">8.1 O prazo para </w:t>
      </w:r>
      <w:r>
        <w:rPr>
          <w:b/>
          <w:sz w:val="22"/>
          <w:szCs w:val="22"/>
          <w:u w:val="single"/>
        </w:rPr>
        <w:t>realização/execução</w:t>
      </w:r>
      <w:r>
        <w:rPr>
          <w:sz w:val="22"/>
          <w:szCs w:val="22"/>
        </w:rPr>
        <w:t xml:space="preserve"> da obra constante deste Edital será de</w:t>
      </w:r>
      <w:r>
        <w:rPr>
          <w:b/>
          <w:bCs/>
          <w:sz w:val="22"/>
          <w:szCs w:val="22"/>
        </w:rPr>
        <w:t xml:space="preserve"> </w:t>
      </w:r>
      <w:r>
        <w:rPr>
          <w:rFonts w:hint="default"/>
          <w:b/>
          <w:bCs/>
          <w:sz w:val="22"/>
          <w:szCs w:val="22"/>
          <w:lang w:val="pt-BR"/>
        </w:rPr>
        <w:t>60</w:t>
      </w:r>
      <w:r>
        <w:rPr>
          <w:b/>
          <w:sz w:val="22"/>
          <w:szCs w:val="22"/>
        </w:rPr>
        <w:t xml:space="preserve"> (</w:t>
      </w:r>
      <w:r>
        <w:rPr>
          <w:rFonts w:hint="default"/>
          <w:b/>
          <w:sz w:val="22"/>
          <w:szCs w:val="22"/>
          <w:lang w:val="pt-BR"/>
        </w:rPr>
        <w:t>sessenta</w:t>
      </w:r>
      <w:r>
        <w:rPr>
          <w:b/>
          <w:sz w:val="22"/>
          <w:szCs w:val="22"/>
        </w:rPr>
        <w:t xml:space="preserve">) </w:t>
      </w:r>
      <w:r>
        <w:rPr>
          <w:sz w:val="22"/>
          <w:szCs w:val="22"/>
        </w:rPr>
        <w:t>dias contados a partir da data do recebimento da Ordem de Serviços.</w:t>
      </w:r>
    </w:p>
    <w:p>
      <w:pPr>
        <w:ind w:left="1134"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numPr>
          <w:ilvl w:val="1"/>
          <w:numId w:val="38"/>
        </w:numPr>
        <w:overflowPunct/>
        <w:spacing w:before="0" w:after="0" w:line="240" w:lineRule="auto"/>
        <w:ind w:left="567" w:hanging="567"/>
        <w:jc w:val="both"/>
        <w:textAlignment w:val="baseline"/>
        <w:rPr>
          <w:sz w:val="22"/>
          <w:szCs w:val="22"/>
        </w:rPr>
      </w:pPr>
      <w:r>
        <w:rPr>
          <w:sz w:val="22"/>
          <w:szCs w:val="22"/>
        </w:rPr>
        <w:t xml:space="preserve">O prazo de </w:t>
      </w:r>
      <w:r>
        <w:rPr>
          <w:b/>
          <w:sz w:val="22"/>
          <w:szCs w:val="22"/>
          <w:u w:val="single"/>
        </w:rPr>
        <w:t>vigência</w:t>
      </w:r>
      <w:r>
        <w:rPr>
          <w:sz w:val="22"/>
          <w:szCs w:val="22"/>
        </w:rPr>
        <w:t xml:space="preserve"> do Contrato será </w:t>
      </w:r>
      <w:r>
        <w:rPr>
          <w:iCs/>
          <w:sz w:val="22"/>
          <w:szCs w:val="22"/>
        </w:rPr>
        <w:t xml:space="preserve">de </w:t>
      </w:r>
      <w:r>
        <w:rPr>
          <w:b/>
          <w:iCs/>
          <w:sz w:val="22"/>
          <w:szCs w:val="22"/>
        </w:rPr>
        <w:t>1</w:t>
      </w:r>
      <w:r>
        <w:rPr>
          <w:rFonts w:hint="default"/>
          <w:b/>
          <w:iCs/>
          <w:sz w:val="22"/>
          <w:szCs w:val="22"/>
          <w:lang w:val="pt-BR"/>
        </w:rPr>
        <w:t>2</w:t>
      </w:r>
      <w:r>
        <w:rPr>
          <w:b/>
          <w:iCs/>
          <w:sz w:val="22"/>
          <w:szCs w:val="22"/>
        </w:rPr>
        <w:t>0</w:t>
      </w:r>
      <w:r>
        <w:rPr>
          <w:b/>
          <w:sz w:val="22"/>
          <w:szCs w:val="22"/>
        </w:rPr>
        <w:t xml:space="preserve"> (cento e </w:t>
      </w:r>
      <w:r>
        <w:rPr>
          <w:rFonts w:hint="default"/>
          <w:b/>
          <w:sz w:val="22"/>
          <w:szCs w:val="22"/>
          <w:lang w:val="pt-BR"/>
        </w:rPr>
        <w:t>vinte</w:t>
      </w:r>
      <w:r>
        <w:rPr>
          <w:b/>
          <w:sz w:val="22"/>
          <w:szCs w:val="22"/>
        </w:rPr>
        <w:t>)</w:t>
      </w:r>
      <w:r>
        <w:rPr>
          <w:iCs/>
          <w:sz w:val="22"/>
          <w:szCs w:val="22"/>
        </w:rPr>
        <w:t xml:space="preserve"> dias</w:t>
      </w:r>
      <w:r>
        <w:rPr>
          <w:rFonts w:hint="default"/>
          <w:iCs/>
          <w:sz w:val="22"/>
          <w:szCs w:val="22"/>
          <w:lang w:val="pt-BR"/>
        </w:rPr>
        <w:t xml:space="preserve"> contados da assinatura,</w:t>
      </w:r>
      <w:r>
        <w:rPr>
          <w:iCs/>
          <w:sz w:val="22"/>
          <w:szCs w:val="22"/>
        </w:rPr>
        <w:t xml:space="preserve"> podendo ser prorrogado mediante acordo entre as partes e nos termos da Lei 8.666/93.</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NONA – DA EXECUÇÃO</w:t>
      </w:r>
    </w:p>
    <w:p>
      <w:pPr>
        <w:numPr>
          <w:ilvl w:val="1"/>
          <w:numId w:val="39"/>
        </w:numPr>
        <w:overflowPunct/>
        <w:spacing w:before="0" w:after="0" w:line="240" w:lineRule="auto"/>
        <w:ind w:left="567" w:hanging="567"/>
        <w:jc w:val="both"/>
        <w:textAlignment w:val="baseline"/>
        <w:rPr>
          <w:sz w:val="22"/>
          <w:szCs w:val="22"/>
        </w:rPr>
      </w:pPr>
      <w:r>
        <w:rPr>
          <w:sz w:val="22"/>
          <w:szCs w:val="22"/>
        </w:rPr>
        <w:t>A obra só poderá ser iniciada após a emissão da Ordem de Serviços pela Gerência de Obras.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Contratada </w:t>
      </w:r>
      <w:r>
        <w:rPr>
          <w:b/>
          <w:iCs/>
          <w:sz w:val="22"/>
          <w:szCs w:val="22"/>
        </w:rPr>
        <w:t>deverá</w:t>
      </w:r>
      <w:r>
        <w:rPr>
          <w:iCs/>
          <w:sz w:val="22"/>
          <w:szCs w:val="22"/>
        </w:rPr>
        <w:t xml:space="preserve"> apresentar Alvará de Construção para a Obra, retirado junto a Gerência de Obras;</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 xml:space="preserve">A empresa </w:t>
      </w:r>
      <w:r>
        <w:rPr>
          <w:b/>
          <w:iCs/>
          <w:sz w:val="22"/>
          <w:szCs w:val="22"/>
        </w:rPr>
        <w:t>deverá</w:t>
      </w:r>
      <w:r>
        <w:rPr>
          <w:iCs/>
          <w:sz w:val="22"/>
          <w:szCs w:val="22"/>
        </w:rPr>
        <w:t xml:space="preserve"> fornecer e afixar as placas conforme solicitado pela Gerência de Obras</w:t>
      </w:r>
      <w:r>
        <w:rPr>
          <w:sz w:val="22"/>
          <w:szCs w:val="22"/>
        </w:rPr>
        <w:t>.</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serviços serão considerados concluídos após o término total, inclusive feita à limpeza geral, bem como reparos, caso a fiscalização julgue necessário.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de inteira responsabilidade da contratada, efetuar todos os serviços de projeto de engenharia, topografia, locação laboratório, necessário á realização dos trabalhos.</w:t>
      </w:r>
    </w:p>
    <w:p>
      <w:pPr>
        <w:jc w:val="both"/>
        <w:rPr>
          <w:bCs/>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40"/>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40"/>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ind w:left="567" w:firstLine="0"/>
        <w:jc w:val="both"/>
        <w:rPr>
          <w:sz w:val="22"/>
          <w:szCs w:val="22"/>
        </w:rPr>
      </w:pPr>
    </w:p>
    <w:p>
      <w:pPr>
        <w:numPr>
          <w:ilvl w:val="1"/>
          <w:numId w:val="40"/>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1"/>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1"/>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2"/>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2"/>
          <w:szCs w:val="22"/>
        </w:rPr>
      </w:pPr>
    </w:p>
    <w:p>
      <w:pPr>
        <w:numPr>
          <w:ilvl w:val="0"/>
          <w:numId w:val="43"/>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ind w:left="142" w:firstLine="0"/>
        <w:jc w:val="both"/>
        <w:rPr>
          <w:b/>
          <w:bCs/>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4"/>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4"/>
        </w:numPr>
        <w:spacing w:before="0" w:after="0" w:line="240" w:lineRule="auto"/>
        <w:ind w:left="567" w:hanging="142"/>
        <w:jc w:val="both"/>
        <w:rPr>
          <w:sz w:val="22"/>
          <w:szCs w:val="22"/>
        </w:rPr>
      </w:pPr>
      <w:r>
        <w:rPr>
          <w:sz w:val="22"/>
          <w:szCs w:val="22"/>
        </w:rPr>
        <w:t>Multa;</w:t>
      </w:r>
    </w:p>
    <w:p>
      <w:pPr>
        <w:ind w:left="142"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tabs>
          <w:tab w:val="left" w:pos="-5670"/>
        </w:tabs>
        <w:ind w:left="567" w:firstLine="0"/>
        <w:jc w:val="both"/>
        <w:rPr>
          <w:sz w:val="22"/>
          <w:szCs w:val="22"/>
        </w:rPr>
      </w:pPr>
    </w:p>
    <w:p>
      <w:pPr>
        <w:numPr>
          <w:ilvl w:val="0"/>
          <w:numId w:val="45"/>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6"/>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2"/>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2"/>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7"/>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7"/>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7"/>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7"/>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7"/>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2"/>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8"/>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9"/>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9"/>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2</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rPr>
          <w:trHeight w:val="471" w:hRule="atLeast"/>
        </w:trPr>
        <w:tc>
          <w:tcPr>
            <w:tcW w:w="5636" w:type="dxa"/>
            <w:vAlign w:val="top"/>
          </w:tcPr>
          <w:p>
            <w:pPr>
              <w:widowControl w:val="0"/>
              <w:tabs>
                <w:tab w:val="left" w:pos="5562"/>
              </w:tabs>
              <w:spacing w:before="0" w:after="0"/>
              <w:ind w:right="33" w:firstLine="0"/>
              <w:jc w:val="left"/>
              <w:textAlignment w:val="baseline"/>
              <w:rPr>
                <w:rFonts w:eastAsia="MS Mincho"/>
                <w:b/>
                <w:iCs/>
                <w:sz w:val="22"/>
                <w:szCs w:val="22"/>
              </w:rPr>
            </w:pPr>
            <w:r>
              <w:rPr>
                <w:rFonts w:eastAsia="MS Mincho"/>
                <w:b/>
                <w:iCs/>
                <w:kern w:val="0"/>
                <w:sz w:val="22"/>
                <w:szCs w:val="22"/>
              </w:rPr>
              <w:t>FABIANO COSTA</w:t>
            </w:r>
          </w:p>
          <w:p>
            <w:pPr>
              <w:widowControl w:val="0"/>
              <w:tabs>
                <w:tab w:val="left" w:pos="5562"/>
              </w:tabs>
              <w:spacing w:before="0" w:after="0"/>
              <w:ind w:right="33" w:firstLine="0"/>
              <w:jc w:val="left"/>
              <w:textAlignment w:val="baseline"/>
              <w:rPr>
                <w:rFonts w:eastAsia="MS Mincho"/>
                <w:b/>
                <w:iCs/>
                <w:sz w:val="22"/>
                <w:szCs w:val="22"/>
              </w:rPr>
            </w:pPr>
            <w:r>
              <w:rPr>
                <w:rFonts w:eastAsia="MS Mincho"/>
                <w:b/>
                <w:iCs/>
                <w:kern w:val="0"/>
                <w:sz w:val="22"/>
                <w:szCs w:val="22"/>
              </w:rPr>
              <w:t>Gerente de Serviço Públicos  e Ordenador de Despesa</w:t>
            </w:r>
          </w:p>
          <w:p>
            <w:pPr>
              <w:widowControl w:val="0"/>
              <w:tabs>
                <w:tab w:val="left" w:pos="5562"/>
              </w:tabs>
              <w:spacing w:before="0" w:after="0"/>
              <w:ind w:right="33" w:firstLine="0"/>
              <w:jc w:val="left"/>
              <w:textAlignment w:val="baseline"/>
              <w:rPr>
                <w:b/>
                <w:iCs/>
                <w:sz w:val="22"/>
                <w:szCs w:val="22"/>
                <w:lang w:val="pt-BR" w:eastAsia="en-US"/>
              </w:rPr>
            </w:pPr>
            <w:r>
              <w:rPr>
                <w:rFonts w:eastAsia="MS Mincho"/>
                <w:b/>
                <w:iCs/>
                <w:kern w:val="0"/>
                <w:sz w:val="22"/>
                <w:szCs w:val="22"/>
              </w:rPr>
              <w:t>Conforme Decreto nº 109/2021</w:t>
            </w:r>
          </w:p>
          <w:p>
            <w:pPr>
              <w:widowControl w:val="0"/>
              <w:tabs>
                <w:tab w:val="left" w:pos="5562"/>
              </w:tabs>
              <w:spacing w:before="0" w:after="0"/>
              <w:ind w:right="33" w:rightChars="0" w:firstLine="0" w:firstLineChars="0"/>
              <w:jc w:val="left"/>
              <w:textAlignment w:val="baseline"/>
              <w:rPr>
                <w:rFonts w:eastAsia="Times New Roman"/>
                <w:b/>
                <w:iCs/>
                <w:sz w:val="22"/>
                <w:szCs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bCs/>
          <w:i/>
          <w:iCs/>
          <w:sz w:val="22"/>
          <w:szCs w:val="22"/>
          <w:lang w:eastAsia="pt-BR"/>
        </w:rPr>
      </w:pPr>
    </w:p>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jc w:val="both"/>
        <w:textAlignment w:val="baseline"/>
        <w:rPr>
          <w:rFonts w:eastAsia="Times New Roman"/>
          <w:b/>
          <w:color w:val="008000"/>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b/>
          <w:sz w:val="22"/>
          <w:szCs w:val="22"/>
        </w:rPr>
      </w:pPr>
      <w:r>
        <w:rPr>
          <w:sz w:val="22"/>
          <w:szCs w:val="22"/>
        </w:rPr>
        <w:br w:type="page"/>
      </w:r>
    </w:p>
    <w:p>
      <w:pPr>
        <w:tabs>
          <w:tab w:val="left" w:pos="10632"/>
          <w:tab w:val="left" w:pos="10773"/>
          <w:tab w:val="left" w:pos="10915"/>
          <w:tab w:val="left" w:pos="11199"/>
        </w:tabs>
        <w:spacing w:line="360" w:lineRule="auto"/>
        <w:ind w:right="46" w:firstLine="0"/>
        <w:jc w:val="both"/>
        <w:rPr>
          <w:rFonts w:hint="default"/>
          <w:b/>
          <w:sz w:val="22"/>
          <w:szCs w:val="22"/>
          <w:lang w:val="pt-BR"/>
        </w:rPr>
      </w:pPr>
      <w:r>
        <w:rPr>
          <w:b/>
          <w:sz w:val="22"/>
          <w:szCs w:val="22"/>
        </w:rPr>
        <w:t>ATO DE DESIGNAÇÃO DO FISCAL CONTRATO Nº ______/202</w:t>
      </w:r>
      <w:r>
        <w:rPr>
          <w:rFonts w:hint="default"/>
          <w:b/>
          <w:sz w:val="22"/>
          <w:szCs w:val="22"/>
          <w:lang w:val="pt-BR"/>
        </w:rPr>
        <w:t>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145/2022</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008/2022</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2"/>
          <w:szCs w:val="22"/>
          <w:lang w:eastAsia="pt-BR"/>
        </w:rPr>
      </w:pPr>
      <w:r>
        <w:rPr>
          <w:b/>
          <w:bCs/>
          <w:iCs/>
          <w:sz w:val="22"/>
          <w:szCs w:val="22"/>
        </w:rPr>
        <w:t xml:space="preserve">OBJETO: </w:t>
      </w:r>
      <w:r>
        <w:rPr>
          <w:b/>
          <w:iCs/>
          <w:sz w:val="22"/>
          <w:szCs w:val="22"/>
        </w:rPr>
        <w:t xml:space="preserve">CONTRATAÇÃO DE EMPRESA ESPECIALIZADA EXECUÇÃO DE OBRA PARA RECOMPOR INSTALAÇÕES ELÉTRICAS E MELHORAR O SISTEMA DE ILUMINAÇÃO DA PRAÇA PÚBLICA LOCALIZADA NA RUA TOM JOBIM, QUADRA 07 - BAIRRO JARDIM PARAÍSO II, CONFORME MEMORIAL DESCRITIVO, PARA ATENDER DEMANDA DA </w:t>
      </w:r>
      <w:r>
        <w:rPr>
          <w:b/>
          <w:iCs/>
          <w:sz w:val="22"/>
          <w:szCs w:val="22"/>
          <w:lang w:val="pt-BR"/>
        </w:rPr>
        <w:t>GERÊNCIA</w:t>
      </w:r>
      <w:r>
        <w:rPr>
          <w:b/>
          <w:iCs/>
          <w:sz w:val="22"/>
          <w:szCs w:val="22"/>
        </w:rPr>
        <w:t xml:space="preserve"> DE OBRAS DO MUNICÍPIO DE NAVIRAÍ/MS. PEDIDO DE SERVIÇOS Nº 257/2022.</w:t>
      </w:r>
    </w:p>
    <w:p>
      <w:pPr>
        <w:spacing w:before="0" w:after="0"/>
        <w:jc w:val="both"/>
        <w:textAlignment w:val="baseline"/>
        <w:rPr>
          <w:iCs/>
          <w:sz w:val="22"/>
          <w:szCs w:val="22"/>
        </w:rPr>
      </w:pPr>
      <w:r>
        <w:rPr>
          <w:b/>
          <w:sz w:val="22"/>
          <w:szCs w:val="22"/>
          <w:u w:val="single"/>
        </w:rPr>
        <w:t>Fabiano Costa,</w:t>
      </w:r>
      <w:r>
        <w:rPr>
          <w:iCs/>
          <w:sz w:val="24"/>
          <w:szCs w:val="24"/>
        </w:rPr>
        <w:t xml:space="preserve"> </w:t>
      </w:r>
      <w:r>
        <w:rPr>
          <w:sz w:val="22"/>
          <w:szCs w:val="22"/>
        </w:rPr>
        <w:t>Gerente de Serviços Públicos e Ordenador de Despesas conforme Decreto nº. 109/2021, brasileiro, portador do CPF/MF nº 614.816.101-04 e Cédula de Identidade RG 53534597 SSP/PR, residente e domiciliado nesta cidade, à Avenida Dourados, 989 – Centro</w:t>
      </w:r>
      <w:r>
        <w:rPr>
          <w:iCs/>
          <w:sz w:val="22"/>
          <w:szCs w:val="22"/>
        </w:rPr>
        <w:t>;</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kern w:val="0"/>
                <w:sz w:val="22"/>
                <w:szCs w:val="22"/>
                <w:lang w:val="pt-BR"/>
              </w:rPr>
            </w:pPr>
            <w:r>
              <w:rPr>
                <w:color w:val="000000"/>
                <w:kern w:val="0"/>
                <w:sz w:val="22"/>
                <w:szCs w:val="22"/>
              </w:rPr>
              <w:t xml:space="preserve">Gerência de </w:t>
            </w:r>
            <w:r>
              <w:rPr>
                <w:rFonts w:hint="default"/>
                <w:color w:val="000000"/>
                <w:kern w:val="0"/>
                <w:sz w:val="22"/>
                <w:szCs w:val="22"/>
                <w:lang w:val="pt-BR"/>
              </w:rPr>
              <w:t>Serviços Públicos</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50"/>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50"/>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50"/>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50"/>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firstLine="0"/>
              <w:jc w:val="left"/>
              <w:textAlignment w:val="baseline"/>
              <w:rPr>
                <w:rFonts w:eastAsia="MS Mincho"/>
                <w:b/>
                <w:iCs/>
                <w:sz w:val="22"/>
                <w:szCs w:val="22"/>
              </w:rPr>
            </w:pPr>
            <w:r>
              <w:rPr>
                <w:rFonts w:eastAsia="MS Mincho"/>
                <w:b/>
                <w:iCs/>
                <w:kern w:val="0"/>
                <w:sz w:val="22"/>
                <w:szCs w:val="22"/>
              </w:rPr>
              <w:t>FABIANO COSTA</w:t>
            </w:r>
          </w:p>
          <w:p>
            <w:pPr>
              <w:widowControl w:val="0"/>
              <w:tabs>
                <w:tab w:val="left" w:pos="5562"/>
              </w:tabs>
              <w:spacing w:before="0" w:after="0"/>
              <w:ind w:right="33" w:firstLine="0"/>
              <w:jc w:val="left"/>
              <w:textAlignment w:val="baseline"/>
              <w:rPr>
                <w:rFonts w:eastAsia="MS Mincho"/>
                <w:b/>
                <w:iCs/>
                <w:sz w:val="22"/>
                <w:szCs w:val="22"/>
              </w:rPr>
            </w:pPr>
            <w:r>
              <w:rPr>
                <w:rFonts w:eastAsia="MS Mincho"/>
                <w:b/>
                <w:iCs/>
                <w:kern w:val="0"/>
                <w:sz w:val="22"/>
                <w:szCs w:val="22"/>
              </w:rPr>
              <w:t>Gerente de Serviço Públicos  e Ordenador de Despesa</w:t>
            </w:r>
          </w:p>
          <w:p>
            <w:pPr>
              <w:widowControl w:val="0"/>
              <w:tabs>
                <w:tab w:val="left" w:pos="5562"/>
              </w:tabs>
              <w:spacing w:before="0" w:after="0" w:line="240" w:lineRule="auto"/>
              <w:ind w:right="0" w:firstLine="0"/>
              <w:jc w:val="left"/>
              <w:textAlignment w:val="baseline"/>
              <w:rPr>
                <w:rFonts w:hint="default" w:eastAsia="MS Mincho"/>
                <w:b/>
                <w:iCs/>
                <w:kern w:val="0"/>
                <w:sz w:val="22"/>
                <w:szCs w:val="22"/>
              </w:rPr>
            </w:pPr>
            <w:r>
              <w:rPr>
                <w:rFonts w:eastAsia="MS Mincho"/>
                <w:b/>
                <w:iCs/>
                <w:kern w:val="0"/>
                <w:sz w:val="22"/>
                <w:szCs w:val="22"/>
              </w:rPr>
              <w:t>Conforme Decreto nº 109/2021</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145/2022</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008/2022</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
          <w:bCs/>
          <w:iCs/>
          <w:sz w:val="22"/>
          <w:szCs w:val="22"/>
        </w:rPr>
      </w:pP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2"/>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tabs>
          <w:tab w:val="left" w:pos="2475"/>
        </w:tabs>
        <w:ind w:left="567" w:hanging="567"/>
        <w:jc w:val="both"/>
        <w:rPr>
          <w:iCs/>
          <w:sz w:val="22"/>
          <w:szCs w:val="22"/>
        </w:rPr>
      </w:pPr>
    </w:p>
    <w:p>
      <w:pPr>
        <w:numPr>
          <w:ilvl w:val="0"/>
          <w:numId w:val="23"/>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3"/>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3"/>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008/2022</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008/2022</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2</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2021.</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ascii="Times New Roman" w:hAnsi="Times New Roman" w:cs="Times New Roman"/>
        <w:b/>
        <w:iCs/>
        <w:color w:val="0000FF"/>
      </w:rPr>
      <w:fldChar w:fldCharType="begin"/>
    </w:r>
    <w:r>
      <w:rPr>
        <w:rFonts w:hint="default" w:ascii="Times New Roman" w:hAnsi="Times New Roman" w:cs="Times New Roman"/>
        <w:b/>
        <w:iCs/>
        <w:color w:val="0000FF"/>
      </w:rPr>
      <w:instrText xml:space="preserve"> HYPERLINK "mailto:pregaonavirai@gmail.com" </w:instrText>
    </w:r>
    <w:r>
      <w:rPr>
        <w:rFonts w:hint="default" w:ascii="Times New Roman" w:hAnsi="Times New Roman" w:cs="Times New Roman"/>
        <w:b/>
        <w:iCs/>
        <w:color w:val="0000FF"/>
      </w:rPr>
      <w:fldChar w:fldCharType="separate"/>
    </w:r>
    <w:r>
      <w:rPr>
        <w:rStyle w:val="14"/>
        <w:rFonts w:hint="default" w:ascii="Times New Roman" w:hAnsi="Times New Roman" w:cs="Times New Roman"/>
        <w:b/>
        <w:iCs/>
        <w:color w:val="0000FF"/>
      </w:rPr>
      <w:t>pregaonavirai@gmail.com</w:t>
    </w:r>
    <w:r>
      <w:rPr>
        <w:rFonts w:hint="default" w:ascii="Times New Roman" w:hAnsi="Times New Roman" w:cs="Times New Roman"/>
        <w:b/>
        <w:iCs/>
        <w:color w:val="0000FF"/>
      </w:rPr>
      <w:fldChar w:fldCharType="end"/>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Telefax (0**67) 3409-1500 – Cep 79950-000 – e-mail: pregaonavirai@gmail.com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ascii="Arial" w:hAnsi="Arial"/>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pregaonavirai@gmail.com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1260041"/>
    <w:multiLevelType w:val="singleLevel"/>
    <w:tmpl w:val="612600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9"/>
  </w:num>
  <w:num w:numId="4">
    <w:abstractNumId w:val="33"/>
    <w:lvlOverride w:ilvl="0">
      <w:startOverride w:val="1"/>
    </w:lvlOverride>
  </w:num>
  <w:num w:numId="5">
    <w:abstractNumId w:val="33"/>
  </w:num>
  <w:num w:numId="6">
    <w:abstractNumId w:val="25"/>
    <w:lvlOverride w:ilvl="2">
      <w:startOverride w:val="1"/>
    </w:lvlOverride>
  </w:num>
  <w:num w:numId="7">
    <w:abstractNumId w:val="13"/>
  </w:num>
  <w:num w:numId="8">
    <w:abstractNumId w:val="5"/>
    <w:lvlOverride w:ilvl="1">
      <w:startOverride w:val="1"/>
    </w:lvlOverride>
  </w:num>
  <w:num w:numId="9">
    <w:abstractNumId w:val="37"/>
    <w:lvlOverride w:ilvl="0">
      <w:startOverride w:val="1"/>
    </w:lvlOverride>
  </w:num>
  <w:num w:numId="10">
    <w:abstractNumId w:val="31"/>
  </w:num>
  <w:num w:numId="11">
    <w:abstractNumId w:val="6"/>
    <w:lvlOverride w:ilvl="0">
      <w:startOverride w:val="1"/>
    </w:lvlOverride>
  </w:num>
  <w:num w:numId="12">
    <w:abstractNumId w:val="6"/>
  </w:num>
  <w:num w:numId="13">
    <w:abstractNumId w:val="10"/>
  </w:num>
  <w:num w:numId="14">
    <w:abstractNumId w:val="39"/>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1"/>
    <w:lvlOverride w:ilvl="0">
      <w:startOverride w:val="1"/>
    </w:lvlOverride>
  </w:num>
  <w:num w:numId="20">
    <w:abstractNumId w:val="41"/>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3"/>
  </w:num>
  <w:num w:numId="28">
    <w:abstractNumId w:val="8"/>
  </w:num>
  <w:num w:numId="29">
    <w:abstractNumId w:val="35"/>
  </w:num>
  <w:num w:numId="30">
    <w:abstractNumId w:val="0"/>
  </w:num>
  <w:num w:numId="31">
    <w:abstractNumId w:val="21"/>
  </w:num>
  <w:num w:numId="32">
    <w:abstractNumId w:val="2"/>
  </w:num>
  <w:num w:numId="33">
    <w:abstractNumId w:val="36"/>
  </w:num>
  <w:num w:numId="34">
    <w:abstractNumId w:val="40"/>
  </w:num>
  <w:num w:numId="35">
    <w:abstractNumId w:val="32"/>
  </w:num>
  <w:num w:numId="36">
    <w:abstractNumId w:val="27"/>
  </w:num>
  <w:num w:numId="37">
    <w:abstractNumId w:val="38"/>
  </w:num>
  <w:num w:numId="38">
    <w:abstractNumId w:val="18"/>
  </w:num>
  <w:num w:numId="39">
    <w:abstractNumId w:val="19"/>
  </w:num>
  <w:num w:numId="40">
    <w:abstractNumId w:val="12"/>
  </w:num>
  <w:num w:numId="41">
    <w:abstractNumId w:val="28"/>
  </w:num>
  <w:num w:numId="42">
    <w:abstractNumId w:val="22"/>
  </w:num>
  <w:num w:numId="43">
    <w:abstractNumId w:val="15"/>
  </w:num>
  <w:num w:numId="44">
    <w:abstractNumId w:val="23"/>
  </w:num>
  <w:num w:numId="45">
    <w:abstractNumId w:val="7"/>
  </w:num>
  <w:num w:numId="46">
    <w:abstractNumId w:val="30"/>
  </w:num>
  <w:num w:numId="47">
    <w:abstractNumId w:val="20"/>
  </w:num>
  <w:num w:numId="48">
    <w:abstractNumId w:val="2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5F3032A"/>
    <w:rsid w:val="0AB921CB"/>
    <w:rsid w:val="1B6B7765"/>
    <w:rsid w:val="1F545A65"/>
    <w:rsid w:val="31A60A57"/>
    <w:rsid w:val="363A0214"/>
    <w:rsid w:val="406E572B"/>
    <w:rsid w:val="40876290"/>
    <w:rsid w:val="519F13EF"/>
    <w:rsid w:val="61CC18B2"/>
    <w:rsid w:val="63FF5120"/>
    <w:rsid w:val="688F2C18"/>
    <w:rsid w:val="68BD320A"/>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163</TotalTime>
  <ScaleCrop>false</ScaleCrop>
  <LinksUpToDate>false</LinksUpToDate>
  <CharactersWithSpaces>75189</CharactersWithSpaces>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2022-06-23T12:00:17Z</cp:lastPrinted>
  <dcterms:modified xsi:type="dcterms:W3CDTF">2022-06-23T12:08:24Z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DC0A6FA4125242428842D38E56F7F5EC</vt:lpwstr>
  </property>
  <property fmtid="{D5CDD505-2E9C-101B-9397-08002B2CF9AE}" pid="3" name="KSOProductBuildVer">
    <vt:lpwstr>1046-11.2.0.11156</vt:lpwstr>
  </property>
</Properties>
</file>