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pStyle w:val="234"/>
        <w:rPr>
          <w:highlight w:val="none"/>
        </w:rPr>
      </w:pPr>
      <w:r>
        <w:rPr>
          <w:rFonts w:ascii="Times New Roman" w:hAnsi="Times New Roman" w:cs="Times New Roman"/>
          <w:sz w:val="24"/>
        </w:rPr>
        <w:t>PROCESSO LICITATÓRIO Nº. 206/2022</w:t>
      </w:r>
    </w:p>
    <w:p>
      <w:pPr>
        <w:jc w:val="center"/>
      </w:pPr>
      <w:r>
        <w:rPr>
          <w:b/>
          <w:bCs/>
          <w:sz w:val="24"/>
          <w:szCs w:val="24"/>
        </w:rPr>
        <w:t>PREGÃO PRESENCIAL N°. 88/2022</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eastAsia="Times New Roman" w:cs="Times New Roman"/>
          <w:b/>
          <w:bCs/>
          <w:color w:val="000000"/>
          <w:sz w:val="24"/>
          <w:szCs w:val="24"/>
          <w:u w:val="single"/>
          <w:lang w:val="pt-BR" w:bidi="ar-SA"/>
        </w:rPr>
        <w:t>Viviane Ribeiro Bogarim Capilé</w:t>
      </w:r>
      <w:r>
        <w:rPr>
          <w:color w:val="000000"/>
        </w:rPr>
        <w:t>, Gerente de Finanças e Ordenadora de Despesas conforme Decreto nº. 035/2022,</w:t>
      </w:r>
      <w:r>
        <w:t xml:space="preserve">torna público que a equipe de Pregoeiras instituída pelas Portarias nº. </w:t>
      </w:r>
      <w:r>
        <w:rPr>
          <w:rFonts w:eastAsia="Times New Roman" w:cs="Times New Roman"/>
          <w:color w:val="auto"/>
          <w:sz w:val="24"/>
          <w:szCs w:val="24"/>
          <w:lang w:val="pt-BR" w:bidi="ar-SA"/>
        </w:rPr>
        <w:t>431 e 432</w:t>
      </w:r>
      <w:r>
        <w:t xml:space="preserve"> de 18 de julho de 2022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b/>
          <w:bCs/>
          <w:highlight w:val="none"/>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b/>
          <w:bCs/>
          <w:sz w:val="24"/>
          <w:szCs w:val="24"/>
        </w:rPr>
        <w:t>08:00</w:t>
      </w:r>
      <w:r>
        <w:rPr>
          <w:rFonts w:hint="default"/>
          <w:b/>
          <w:bCs/>
          <w:sz w:val="24"/>
          <w:szCs w:val="24"/>
          <w:lang w:val="pt-BR"/>
        </w:rPr>
        <w:t>h</w:t>
      </w:r>
      <w:r>
        <w:rPr>
          <w:sz w:val="24"/>
          <w:szCs w:val="24"/>
        </w:rPr>
        <w:t xml:space="preserve"> do dia </w:t>
      </w:r>
      <w:r>
        <w:rPr>
          <w:b/>
          <w:bCs/>
          <w:sz w:val="24"/>
          <w:szCs w:val="24"/>
          <w:lang w:val="pt-BR"/>
        </w:rPr>
        <w:t>06 de setembro de 2022.</w:t>
      </w:r>
    </w:p>
    <w:p>
      <w:pPr>
        <w:pStyle w:val="24"/>
        <w:rPr>
          <w:sz w:val="24"/>
          <w:szCs w:val="24"/>
        </w:rPr>
      </w:pPr>
    </w:p>
    <w:p>
      <w:pPr>
        <w:pStyle w:val="24"/>
        <w:rPr>
          <w:sz w:val="24"/>
          <w:szCs w:val="24"/>
        </w:rPr>
      </w:pPr>
      <w:r>
        <w:rPr>
          <w:b/>
          <w:bCs/>
          <w:sz w:val="24"/>
          <w:szCs w:val="24"/>
        </w:rPr>
        <w:t>1.3</w:t>
      </w:r>
      <w:r>
        <w:rPr>
          <w:sz w:val="24"/>
          <w:szCs w:val="24"/>
        </w:rPr>
        <w:t xml:space="preserve">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 OBJETIVANDO AQUISIÇÃO FUTURA DE GÊNERO ALIMENTÍCIO (HORTIFRUTI), CONFORME TERMO DE REFERÊNCIA, EM ATENDIMENTO AS GERÊNCIAS MUNICIPAIS DE NAVIRAÍ/MS. PEDIDO DE COMPRA Nº 37/2022.</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rPr>
          <w:b/>
          <w:sz w:val="24"/>
          <w:szCs w:val="24"/>
          <w:lang w:val="pt-BR"/>
        </w:rPr>
      </w:pPr>
      <w:r>
        <w:rPr>
          <w:sz w:val="24"/>
          <w:szCs w:val="24"/>
        </w:rPr>
        <w:t>DATA DA ABERTURA</w:t>
      </w:r>
      <w:r>
        <w:rPr>
          <w:b/>
          <w:sz w:val="24"/>
          <w:szCs w:val="24"/>
        </w:rPr>
        <w:t xml:space="preserve">: </w:t>
      </w:r>
      <w:r>
        <w:rPr>
          <w:b/>
          <w:sz w:val="24"/>
          <w:szCs w:val="24"/>
          <w:lang w:val="pt-BR"/>
        </w:rPr>
        <w:t>06/09/2022</w:t>
      </w:r>
    </w:p>
    <w:p>
      <w:pPr>
        <w:jc w:val="both"/>
        <w:rPr>
          <w:sz w:val="24"/>
          <w:szCs w:val="24"/>
          <w:lang w:val="pt-BR"/>
        </w:rPr>
      </w:pPr>
      <w:r>
        <w:rPr>
          <w:sz w:val="24"/>
          <w:szCs w:val="24"/>
        </w:rPr>
        <w:t>HORA: 08</w:t>
      </w:r>
      <w:r>
        <w:rPr>
          <w:sz w:val="24"/>
          <w:szCs w:val="24"/>
          <w:lang w:val="pt-BR"/>
        </w:rPr>
        <w:t>h00min</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r>
        <w:rPr>
          <w:sz w:val="24"/>
          <w:szCs w:val="24"/>
        </w:rPr>
        <w:t>.</w:t>
      </w:r>
    </w:p>
    <w:p>
      <w:pPr>
        <w:jc w:val="both"/>
        <w:rPr>
          <w:sz w:val="24"/>
          <w:szCs w:val="24"/>
        </w:rPr>
      </w:pPr>
      <w:r>
        <w:rPr>
          <w:sz w:val="24"/>
          <w:szCs w:val="24"/>
        </w:rPr>
        <w:t>CEP: 79.950-000</w:t>
      </w:r>
    </w:p>
    <w:p>
      <w:pPr>
        <w:pStyle w:val="7"/>
        <w:numPr>
          <w:ilvl w:val="5"/>
          <w:numId w:val="1"/>
        </w:numPr>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
          <w:bCs w:val="0"/>
          <w:sz w:val="24"/>
          <w:szCs w:val="24"/>
        </w:rPr>
        <w:t>d</w:t>
      </w:r>
      <w:r>
        <w:rPr>
          <w:bCs/>
          <w:sz w:val="24"/>
          <w:szCs w:val="24"/>
        </w:rPr>
        <w:t>)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Cada representante poderá representar apenas uma empresa licitante.</w:t>
      </w:r>
    </w:p>
    <w:p>
      <w:pPr>
        <w:jc w:val="both"/>
        <w:rPr>
          <w:sz w:val="24"/>
          <w:szCs w:val="24"/>
        </w:rPr>
      </w:pPr>
    </w:p>
    <w:p>
      <w:pPr>
        <w:jc w:val="both"/>
      </w:pPr>
      <w:r>
        <w:rPr>
          <w:b/>
          <w:bCs/>
          <w:sz w:val="24"/>
          <w:szCs w:val="24"/>
        </w:rPr>
        <w:t>5.6</w:t>
      </w:r>
      <w:r>
        <w:rPr>
          <w:sz w:val="24"/>
          <w:szCs w:val="24"/>
        </w:rPr>
        <w:t xml:space="preserve">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rPr>
          <w:sz w:val="24"/>
          <w:szCs w:val="24"/>
          <w:lang w:eastAsia="pt-BR"/>
        </w:rPr>
      </w:pPr>
      <w:r>
        <w:rPr>
          <w:b/>
          <w:sz w:val="24"/>
          <w:szCs w:val="24"/>
          <w:lang w:eastAsia="pt-BR"/>
        </w:rPr>
        <w:t xml:space="preserve">5.7 </w:t>
      </w:r>
      <w:r>
        <w:rPr>
          <w:sz w:val="24"/>
          <w:szCs w:val="24"/>
          <w:lang w:eastAsia="pt-BR"/>
        </w:rPr>
        <w:t xml:space="preserve">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pPr>
      <w:r>
        <w:rPr>
          <w:b/>
          <w:sz w:val="24"/>
          <w:szCs w:val="24"/>
          <w:lang w:eastAsia="pt-BR"/>
        </w:rPr>
        <w:t xml:space="preserve">5.7.1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w:t>
      </w:r>
      <w:r>
        <w:rPr>
          <w:sz w:val="24"/>
          <w:szCs w:val="24"/>
          <w:lang w:eastAsia="pt-BR"/>
        </w:rPr>
        <w:t>Após o início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ind w:left="0" w:firstLine="0"/>
        <w:jc w:val="both"/>
        <w:outlineLvl w:val="2"/>
      </w:pPr>
      <w:r>
        <w:rPr>
          <w:b/>
          <w:sz w:val="24"/>
          <w:szCs w:val="24"/>
          <w:lang w:eastAsia="pt-BR"/>
        </w:rPr>
        <w:t>PREGÃO PRESENCIAL Nº 88/2022</w:t>
      </w:r>
      <w:r>
        <w:rPr>
          <w:rFonts w:eastAsia="Arial Unicode MS"/>
          <w:b/>
          <w:sz w:val="24"/>
          <w:szCs w:val="24"/>
          <w:lang w:eastAsia="pt-BR"/>
        </w:rPr>
        <w:t xml:space="preserve"> </w:t>
      </w:r>
    </w:p>
    <w:p>
      <w:pPr>
        <w:jc w:val="both"/>
      </w:pPr>
      <w:r>
        <w:rPr>
          <w:b/>
          <w:sz w:val="24"/>
          <w:szCs w:val="24"/>
        </w:rPr>
        <w:t>DATA DE ABERTURA:</w:t>
      </w:r>
      <w:r>
        <w:rPr>
          <w:b/>
          <w:sz w:val="24"/>
          <w:szCs w:val="24"/>
          <w:lang w:val="pt-BR"/>
        </w:rPr>
        <w:t xml:space="preserve"> 06/09/2022</w:t>
      </w:r>
      <w:r>
        <w:rPr>
          <w:b/>
          <w:sz w:val="24"/>
          <w:szCs w:val="24"/>
        </w:rPr>
        <w:t xml:space="preserve"> </w:t>
      </w:r>
    </w:p>
    <w:p>
      <w:pPr>
        <w:keepNext/>
        <w:numPr>
          <w:ilvl w:val="0"/>
          <w:numId w:val="0"/>
        </w:numPr>
        <w:ind w:left="0" w:firstLine="0"/>
        <w:jc w:val="both"/>
        <w:outlineLvl w:val="3"/>
        <w:rPr>
          <w:lang w:val="en-US"/>
        </w:rPr>
      </w:pPr>
      <w:r>
        <w:rPr>
          <w:b/>
          <w:sz w:val="24"/>
          <w:szCs w:val="24"/>
          <w:lang w:eastAsia="pt-BR"/>
        </w:rPr>
        <w:t>HORÁRIO: 0</w:t>
      </w:r>
      <w:r>
        <w:rPr>
          <w:b/>
          <w:sz w:val="24"/>
          <w:szCs w:val="24"/>
          <w:lang w:val="en-US" w:eastAsia="pt-BR"/>
        </w:rPr>
        <w:t>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ind w:left="0" w:firstLine="0"/>
        <w:jc w:val="both"/>
        <w:outlineLvl w:val="4"/>
      </w:pPr>
      <w:r>
        <w:rPr>
          <w:b/>
          <w:sz w:val="24"/>
          <w:szCs w:val="24"/>
          <w:lang w:eastAsia="pt-BR"/>
        </w:rPr>
        <w:t>PREGÃO PRESENCIAL Nº 88/</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DATA DE ABERTURA: 06/09/2022</w:t>
      </w:r>
    </w:p>
    <w:p>
      <w:pPr>
        <w:tabs>
          <w:tab w:val="left" w:pos="2835"/>
        </w:tabs>
        <w:jc w:val="both"/>
        <w:rPr>
          <w:b/>
          <w:sz w:val="24"/>
          <w:szCs w:val="24"/>
          <w:lang w:val="pt-BR"/>
        </w:rPr>
      </w:pPr>
      <w:r>
        <w:rPr>
          <w:b/>
          <w:sz w:val="24"/>
          <w:szCs w:val="24"/>
        </w:rPr>
        <w:t xml:space="preserve">HORÁRIO: </w:t>
      </w:r>
      <w:r>
        <w:rPr>
          <w:b/>
          <w:sz w:val="24"/>
          <w:szCs w:val="24"/>
          <w:lang w:val="pt-BR"/>
        </w:rPr>
        <w:t>08h00min</w:t>
      </w:r>
    </w:p>
    <w:p>
      <w:pPr>
        <w:tabs>
          <w:tab w:val="left" w:pos="2835"/>
        </w:tabs>
        <w:jc w:val="both"/>
        <w:rPr>
          <w:b/>
          <w:sz w:val="24"/>
          <w:szCs w:val="24"/>
          <w:lang w:val="pt-BR"/>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numPr>
          <w:ilvl w:val="5"/>
          <w:numId w:val="1"/>
        </w:numPr>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08h: 00min às 11h: 00min das 13h: 00min às 17h:00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 xml:space="preserve">7 </w:t>
      </w:r>
      <w:r>
        <w:rPr>
          <w:b/>
          <w:bCs/>
          <w:sz w:val="24"/>
          <w:szCs w:val="24"/>
          <w:lang w:val="pt-BR"/>
        </w:rPr>
        <w:t>-</w:t>
      </w:r>
      <w:r>
        <w:rPr>
          <w:b/>
          <w:bCs/>
          <w:sz w:val="24"/>
          <w:szCs w:val="24"/>
        </w:rPr>
        <w:t xml:space="preserve">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rPr>
          <w:sz w:val="24"/>
          <w:szCs w:val="24"/>
        </w:rPr>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rPr>
          <w:sz w:val="24"/>
          <w:szCs w:val="24"/>
        </w:rPr>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7.11 DO VALOR ESTIMADO</w:t>
      </w:r>
    </w:p>
    <w:p>
      <w:pPr>
        <w:pStyle w:val="237"/>
        <w:tabs>
          <w:tab w:val="left" w:pos="709"/>
        </w:tabs>
        <w:ind w:left="0" w:right="0" w:firstLine="0"/>
        <w:jc w:val="both"/>
        <w:textAlignment w:val="baseline"/>
        <w:rPr>
          <w:b/>
          <w:bCs/>
          <w:sz w:val="24"/>
          <w:szCs w:val="24"/>
        </w:rPr>
      </w:pPr>
    </w:p>
    <w:p>
      <w:pPr>
        <w:pStyle w:val="237"/>
        <w:tabs>
          <w:tab w:val="left" w:pos="0"/>
        </w:tabs>
        <w:ind w:left="0" w:right="0" w:firstLine="0"/>
        <w:jc w:val="both"/>
        <w:rPr>
          <w:b/>
          <w:iCs/>
          <w:sz w:val="24"/>
          <w:szCs w:val="24"/>
        </w:rPr>
      </w:pPr>
      <w:r>
        <w:rPr>
          <w:b/>
          <w:iCs/>
          <w:sz w:val="24"/>
          <w:szCs w:val="24"/>
        </w:rPr>
        <w:t>7.11.1</w:t>
      </w:r>
      <w:r>
        <w:rPr>
          <w:iCs/>
          <w:sz w:val="24"/>
          <w:szCs w:val="24"/>
        </w:rPr>
        <w:t xml:space="preserve"> O valor total estimado para a aquisição dos itens referente ao objeto deste Edital, é de </w:t>
      </w:r>
      <w:r>
        <w:rPr>
          <w:b/>
          <w:bCs/>
          <w:iCs/>
          <w:sz w:val="24"/>
          <w:szCs w:val="24"/>
        </w:rPr>
        <w:t>R$ 2.976.387,94 (dois milhões, novecentos e setenta e seis mil trezentos e oitenta e sete reais e noventa e quatro centavos).</w:t>
      </w:r>
    </w:p>
    <w:p>
      <w:pPr>
        <w:shd w:val="clear" w:fill="D9D9D9"/>
        <w:tabs>
          <w:tab w:val="left" w:pos="709"/>
        </w:tabs>
        <w:overflowPunct w:val="0"/>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b/>
          <w:bCs/>
          <w:iCs/>
          <w:sz w:val="24"/>
          <w:szCs w:val="24"/>
          <w:lang w:eastAsia="pt-BR"/>
        </w:rPr>
        <w:t>7.11.2</w:t>
      </w:r>
      <w:r>
        <w:rPr>
          <w:iCs/>
          <w:sz w:val="24"/>
          <w:szCs w:val="24"/>
          <w:lang w:eastAsia="pt-BR"/>
        </w:rPr>
        <w:t xml:space="preserve">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08h: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b/>
          <w:bCs/>
          <w:sz w:val="24"/>
          <w:szCs w:val="24"/>
          <w:lang w:eastAsia="pt-BR"/>
        </w:rPr>
        <w:t>7.11.3</w:t>
      </w:r>
      <w:r>
        <w:rPr>
          <w:sz w:val="24"/>
          <w:szCs w:val="24"/>
          <w:lang w:eastAsia="pt-BR"/>
        </w:rPr>
        <w:t xml:space="preserve">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xml:space="preserve"> Documentação relativa à regularidade fiscal, trabalhista, econômico-financeira e técnica:</w:t>
      </w:r>
    </w:p>
    <w:p>
      <w:pPr>
        <w:jc w:val="both"/>
        <w:rPr>
          <w:b/>
          <w:bCs/>
          <w:color w:val="000000"/>
          <w:sz w:val="24"/>
          <w:szCs w:val="24"/>
        </w:rPr>
      </w:pPr>
    </w:p>
    <w:p>
      <w:pPr>
        <w:jc w:val="both"/>
        <w:rPr>
          <w:sz w:val="24"/>
          <w:szCs w:val="24"/>
        </w:rPr>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b/>
          <w:bCs/>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8.2.</w:t>
      </w:r>
      <w:r>
        <w:rPr>
          <w:b/>
          <w:bCs/>
          <w:sz w:val="24"/>
          <w:szCs w:val="24"/>
          <w:lang w:val="pt-BR"/>
        </w:rPr>
        <w:t>4</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b/>
          <w:bCs/>
          <w:sz w:val="24"/>
          <w:szCs w:val="24"/>
          <w:lang w:val="pt-BR"/>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w:t>
      </w:r>
      <w:r>
        <w:rPr>
          <w:b/>
          <w:bCs/>
          <w:sz w:val="24"/>
          <w:szCs w:val="24"/>
          <w:lang w:val="pt-BR"/>
        </w:rPr>
        <w:t>6</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pPr>
        <w:ind w:left="0" w:right="-142" w:firstLine="0"/>
        <w:jc w:val="both"/>
        <w:rPr>
          <w:b w:val="0"/>
          <w:bCs w:val="0"/>
          <w:sz w:val="24"/>
          <w:szCs w:val="24"/>
          <w:lang w:val="en-US" w:eastAsia="pt-BR"/>
        </w:rPr>
      </w:pPr>
      <w:r>
        <w:rPr>
          <w:b/>
          <w:bCs/>
          <w:sz w:val="24"/>
          <w:szCs w:val="24"/>
          <w:lang w:val="en-US" w:eastAsia="pt-BR"/>
        </w:rPr>
        <w:t xml:space="preserve">8.2.7 </w:t>
      </w:r>
      <w:r>
        <w:rPr>
          <w:b w:val="0"/>
          <w:bCs w:val="0"/>
          <w:sz w:val="24"/>
          <w:szCs w:val="24"/>
          <w:lang w:val="en-US" w:eastAsia="pt-BR"/>
        </w:rPr>
        <w:t>Declaração do licitante que para o ato de Assinatura da Ata de Registro Preço caso seja o Adjudicatário irá apresentar:</w:t>
      </w:r>
    </w:p>
    <w:p>
      <w:pPr>
        <w:ind w:left="0" w:right="-142" w:firstLine="0"/>
        <w:jc w:val="both"/>
        <w:rPr>
          <w:b/>
          <w:bCs/>
          <w:sz w:val="24"/>
          <w:szCs w:val="24"/>
          <w:lang w:val="en-US" w:eastAsia="pt-BR"/>
        </w:rPr>
      </w:pPr>
    </w:p>
    <w:p>
      <w:pPr>
        <w:ind w:left="0" w:right="-142" w:firstLine="0"/>
        <w:jc w:val="both"/>
        <w:rPr>
          <w:b/>
          <w:bCs/>
          <w:sz w:val="24"/>
          <w:szCs w:val="24"/>
          <w:lang w:val="en-US" w:eastAsia="pt-BR"/>
        </w:rPr>
      </w:pPr>
    </w:p>
    <w:p>
      <w:pPr>
        <w:ind w:left="0" w:right="-142" w:firstLine="0"/>
        <w:jc w:val="both"/>
        <w:rPr>
          <w:b/>
          <w:bCs/>
          <w:sz w:val="24"/>
          <w:szCs w:val="24"/>
          <w:lang w:val="en-US" w:eastAsia="pt-BR"/>
        </w:rPr>
      </w:pPr>
      <w:r>
        <w:rPr>
          <w:b/>
          <w:bCs/>
          <w:sz w:val="24"/>
          <w:szCs w:val="24"/>
          <w:lang w:val="en-US" w:eastAsia="pt-BR"/>
        </w:rPr>
        <w:t>a) Alvará Sanitário, expedido pelo órgão competente, observando sua validade;</w:t>
      </w:r>
    </w:p>
    <w:p>
      <w:pPr>
        <w:ind w:left="0" w:right="-142" w:firstLine="0"/>
        <w:jc w:val="both"/>
        <w:rPr>
          <w:b/>
          <w:bCs/>
          <w:sz w:val="24"/>
          <w:szCs w:val="24"/>
          <w:lang w:eastAsia="pt-BR"/>
        </w:rPr>
      </w:pPr>
    </w:p>
    <w:p>
      <w:pPr>
        <w:ind w:left="0" w:right="-142" w:firstLine="0"/>
        <w:jc w:val="both"/>
        <w:rPr>
          <w:b/>
          <w:bCs/>
          <w:sz w:val="24"/>
          <w:szCs w:val="24"/>
          <w:lang w:eastAsia="pt-BR"/>
        </w:rPr>
      </w:pPr>
    </w:p>
    <w:p>
      <w:r>
        <w:rPr>
          <w:b/>
          <w:bCs/>
          <w:sz w:val="24"/>
          <w:szCs w:val="24"/>
          <w:lang w:eastAsia="pt-BR"/>
        </w:rPr>
        <w:t>8.2.</w:t>
      </w:r>
      <w:r>
        <w:rPr>
          <w:b/>
          <w:bCs/>
          <w:sz w:val="24"/>
          <w:szCs w:val="24"/>
          <w:lang w:val="en-US" w:eastAsia="pt-BR"/>
        </w:rPr>
        <w:t xml:space="preserve">8 </w:t>
      </w:r>
      <w:r>
        <w:rPr>
          <w:sz w:val="24"/>
          <w:szCs w:val="24"/>
          <w:lang w:eastAsia="pt-BR"/>
        </w:rPr>
        <w:t>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b/>
          <w:bCs/>
          <w:sz w:val="24"/>
          <w:szCs w:val="24"/>
          <w:lang w:val="pt-BR"/>
        </w:rPr>
        <w:t xml:space="preserve">9 </w:t>
      </w:r>
      <w:r>
        <w:rPr>
          <w:sz w:val="24"/>
          <w:szCs w:val="24"/>
        </w:rPr>
        <w:t>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w:t>
      </w:r>
      <w:r>
        <w:rPr>
          <w:b/>
          <w:sz w:val="24"/>
          <w:szCs w:val="24"/>
          <w:lang w:val="pt-BR"/>
        </w:rPr>
        <w:t>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w:t>
      </w:r>
      <w:r>
        <w:rPr>
          <w:sz w:val="24"/>
          <w:szCs w:val="24"/>
          <w:lang w:val="pt-BR"/>
        </w:rPr>
        <w:t xml:space="preserve"> </w:t>
      </w:r>
      <w:r>
        <w:rPr>
          <w:sz w:val="24"/>
          <w:szCs w:val="24"/>
        </w:rPr>
        <w:t>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w:t>
      </w:r>
      <w:r>
        <w:t>Em caso de participação de licitante que detenha a condição de micro empresa ou de empresa de pequeno porte nos termos da Lei 123/06, serão observado o seguinte:</w:t>
      </w:r>
    </w:p>
    <w:p>
      <w:pPr>
        <w:pStyle w:val="14"/>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no horário das 8h às 11h das 13h às 17h (horário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 xml:space="preserve">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lang w:val="pt-BR"/>
        </w:rPr>
        <w:t xml:space="preserve">06 (seis) </w:t>
      </w:r>
      <w:r>
        <w:rPr>
          <w:sz w:val="24"/>
          <w:szCs w:val="24"/>
          <w:u w:val="single"/>
        </w:rPr>
        <w:t>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rPr>
          <w:sz w:val="24"/>
          <w:szCs w:val="24"/>
        </w:rPr>
      </w:pPr>
      <w:r>
        <w:rPr>
          <w:b/>
          <w:bCs/>
          <w:sz w:val="24"/>
          <w:szCs w:val="24"/>
        </w:rPr>
        <w:t>11.3</w:t>
      </w:r>
      <w:r>
        <w:rPr>
          <w:sz w:val="24"/>
          <w:szCs w:val="24"/>
        </w:rPr>
        <w:t xml:space="preserve">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rPr>
          <w:sz w:val="24"/>
          <w:szCs w:val="24"/>
        </w:rPr>
      </w:pPr>
      <w:r>
        <w:rPr>
          <w:b/>
          <w:bCs/>
          <w:sz w:val="24"/>
          <w:szCs w:val="24"/>
        </w:rPr>
        <w:t>11.</w:t>
      </w:r>
      <w:r>
        <w:rPr>
          <w:b/>
          <w:bCs/>
          <w:sz w:val="24"/>
          <w:szCs w:val="24"/>
          <w:lang w:val="pt-BR"/>
        </w:rPr>
        <w:t>3</w:t>
      </w:r>
      <w:r>
        <w:rPr>
          <w:b/>
          <w:bCs/>
          <w:sz w:val="24"/>
          <w:szCs w:val="24"/>
        </w:rPr>
        <w:t xml:space="preserve">.1 </w:t>
      </w:r>
      <w:r>
        <w:rPr>
          <w:sz w:val="24"/>
          <w:szCs w:val="24"/>
        </w:rPr>
        <w:t>O fornecedor que não comparecer para assinar a Ata de Registro de Preços, dentro do prazo estipulado no item 11.2, ou se recusar em assinar a presente Ata será submetido às penalidades descritas no Artigo 7º da Lei 10.520/02.</w:t>
      </w:r>
    </w:p>
    <w:p>
      <w:pPr>
        <w:ind w:left="0" w:right="-241" w:firstLine="0"/>
        <w:jc w:val="both"/>
        <w:rPr>
          <w:sz w:val="24"/>
          <w:szCs w:val="24"/>
        </w:rPr>
      </w:pPr>
    </w:p>
    <w:p>
      <w:pPr>
        <w:ind w:left="0" w:right="-241" w:firstLine="0"/>
        <w:jc w:val="both"/>
      </w:pPr>
      <w:r>
        <w:rPr>
          <w:b/>
          <w:bCs/>
          <w:sz w:val="24"/>
          <w:szCs w:val="24"/>
        </w:rPr>
        <w:t>11.4</w:t>
      </w:r>
      <w:r>
        <w:rPr>
          <w:sz w:val="24"/>
          <w:szCs w:val="24"/>
        </w:rPr>
        <w:t xml:space="preserve"> </w:t>
      </w:r>
      <w:r>
        <w:rPr>
          <w:sz w:val="24"/>
          <w:szCs w:val="24"/>
          <w:lang w:val="pt-BR"/>
        </w:rPr>
        <w:t xml:space="preserve"> </w:t>
      </w:r>
      <w:r>
        <w:rPr>
          <w:sz w:val="24"/>
          <w:szCs w:val="24"/>
        </w:rPr>
        <w:t>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w:t>
      </w:r>
      <w:r>
        <w:rPr>
          <w:b/>
          <w:bCs/>
          <w:sz w:val="24"/>
          <w:szCs w:val="24"/>
          <w:lang w:val="en-US" w:eastAsia="pt-BR"/>
        </w:rPr>
        <w:t xml:space="preserve"> </w:t>
      </w:r>
      <w:r>
        <w:rPr>
          <w:sz w:val="24"/>
          <w:szCs w:val="24"/>
          <w:lang w:eastAsia="pt-BR"/>
        </w:rPr>
        <w:t>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 xml:space="preserve">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 xml:space="preserve">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 xml:space="preserve">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pPr>
      <w:r>
        <w:rPr>
          <w:b/>
          <w:bCs/>
          <w:sz w:val="24"/>
          <w:szCs w:val="24"/>
          <w:lang w:eastAsia="pt-BR"/>
        </w:rPr>
        <w:t xml:space="preserve">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 xml:space="preserve">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w:t>
      </w:r>
      <w:r>
        <w:rPr>
          <w:b/>
          <w:bCs/>
          <w:sz w:val="24"/>
          <w:szCs w:val="24"/>
          <w:lang w:val="pt-BR"/>
        </w:rPr>
        <w:t xml:space="preserve"> </w:t>
      </w:r>
      <w:r>
        <w:rPr>
          <w:sz w:val="24"/>
          <w:szCs w:val="24"/>
        </w:rPr>
        <w:t>Em caso de redução nos preços dos itens licitados, a empresa fica obrigada a repassar ao município o mesmo percentual de desconto.</w:t>
      </w:r>
    </w:p>
    <w:p>
      <w:pPr>
        <w:jc w:val="both"/>
        <w:rPr>
          <w:sz w:val="24"/>
          <w:szCs w:val="24"/>
        </w:rPr>
      </w:pPr>
    </w:p>
    <w:p>
      <w:pPr>
        <w:pStyle w:val="9"/>
        <w:numPr>
          <w:ilvl w:val="7"/>
          <w:numId w:val="1"/>
        </w:numPr>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rPr>
          <w:sz w:val="24"/>
          <w:szCs w:val="24"/>
          <w:lang w:val="pt-BR"/>
        </w:rPr>
      </w:pPr>
      <w:r>
        <w:rPr>
          <w:b/>
          <w:bCs/>
          <w:sz w:val="24"/>
          <w:szCs w:val="24"/>
        </w:rPr>
        <w:t xml:space="preserve">13.3  </w:t>
      </w:r>
      <w:r>
        <w:rPr>
          <w:sz w:val="24"/>
          <w:szCs w:val="24"/>
        </w:rPr>
        <w:t>Para efeito deste registro considera-se Ordem de Compras, aquela solicitação em que o quantitativo deverá ser entregue em sua totalidade em</w:t>
      </w:r>
      <w:r>
        <w:rPr>
          <w:sz w:val="24"/>
          <w:szCs w:val="24"/>
          <w:lang w:val="pt-BR"/>
        </w:rPr>
        <w:t xml:space="preserve"> até </w:t>
      </w:r>
      <w:r>
        <w:rPr>
          <w:b/>
          <w:bCs/>
          <w:sz w:val="24"/>
          <w:szCs w:val="24"/>
          <w:u w:val="none"/>
          <w:lang w:val="pt-BR"/>
        </w:rPr>
        <w:t>05 (cinco) dias.</w:t>
      </w:r>
    </w:p>
    <w:p>
      <w:pPr>
        <w:jc w:val="both"/>
        <w:rPr>
          <w:sz w:val="24"/>
          <w:szCs w:val="24"/>
          <w:lang w:val="pt-BR"/>
        </w:rPr>
      </w:pPr>
    </w:p>
    <w:p>
      <w:pPr>
        <w:jc w:val="both"/>
      </w:pPr>
      <w:r>
        <w:rPr>
          <w:b/>
          <w:bCs/>
          <w:sz w:val="24"/>
          <w:szCs w:val="24"/>
        </w:rPr>
        <w:t xml:space="preserve">13.4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numPr>
          <w:ilvl w:val="1"/>
          <w:numId w:val="1"/>
        </w:numPr>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rPr>
          <w:sz w:val="24"/>
          <w:szCs w:val="24"/>
        </w:rPr>
      </w:pPr>
      <w:r>
        <w:rPr>
          <w:b/>
          <w:bCs/>
          <w:sz w:val="24"/>
          <w:szCs w:val="24"/>
        </w:rPr>
        <w:t>14.1</w:t>
      </w:r>
      <w:r>
        <w:rPr>
          <w:sz w:val="24"/>
          <w:szCs w:val="24"/>
        </w:rPr>
        <w:t xml:space="preserve">  Os itens licitados serão solicitados conforme a necessidade da Gerência, e deverão ser entregues no </w:t>
      </w:r>
      <w:r>
        <w:rPr>
          <w:sz w:val="24"/>
          <w:szCs w:val="24"/>
          <w:lang w:val="pt-BR"/>
        </w:rPr>
        <w:t>local indicado na ordem de fornecimento</w:t>
      </w:r>
      <w:r>
        <w:rPr>
          <w:sz w:val="24"/>
          <w:szCs w:val="24"/>
        </w:rPr>
        <w:t xml:space="preserve">, pelo prazo máximo de </w:t>
      </w:r>
      <w:r>
        <w:rPr>
          <w:b/>
          <w:bCs/>
          <w:sz w:val="24"/>
          <w:szCs w:val="24"/>
          <w:lang w:val="pt-BR"/>
        </w:rPr>
        <w:t>05 (cinco) dias</w:t>
      </w:r>
      <w:r>
        <w:rPr>
          <w:sz w:val="24"/>
          <w:szCs w:val="24"/>
        </w:rPr>
        <w:t xml:space="preserve"> a contar do recebimento da requisição devidamente assinada.</w:t>
      </w:r>
    </w:p>
    <w:p>
      <w:pPr>
        <w:jc w:val="both"/>
        <w:rPr>
          <w:sz w:val="24"/>
          <w:szCs w:val="24"/>
        </w:rPr>
      </w:pPr>
    </w:p>
    <w:p>
      <w:pPr>
        <w:jc w:val="both"/>
      </w:pPr>
      <w:r>
        <w:rPr>
          <w:b/>
          <w:sz w:val="24"/>
          <w:szCs w:val="24"/>
        </w:rPr>
        <w:t>14.1.1 -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w:t>
      </w:r>
      <w:r>
        <w:rPr>
          <w:iCs/>
          <w:sz w:val="24"/>
          <w:szCs w:val="24"/>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right="-96" w:firstLine="0"/>
        <w:jc w:val="both"/>
        <w:rPr>
          <w:sz w:val="24"/>
          <w:szCs w:val="24"/>
        </w:rPr>
      </w:pPr>
    </w:p>
    <w:p>
      <w:pPr>
        <w:ind w:left="709" w:right="-96" w:hanging="709"/>
        <w:jc w:val="both"/>
      </w:pPr>
      <w:r>
        <w:rPr>
          <w:b/>
          <w:bCs/>
          <w:sz w:val="24"/>
          <w:szCs w:val="24"/>
        </w:rPr>
        <w:t>15.4.</w:t>
      </w:r>
      <w:r>
        <w:rPr>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7"/>
          <w:sz w:val="24"/>
          <w:szCs w:val="24"/>
        </w:rPr>
        <w:t>www.tst.jus.br/certidão</w:t>
      </w:r>
      <w:r>
        <w:rPr>
          <w:rStyle w:val="207"/>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rPr>
          <w:sz w:val="24"/>
          <w:szCs w:val="24"/>
        </w:rPr>
      </w:pPr>
      <w:r>
        <w:rPr>
          <w:b/>
          <w:bCs/>
          <w:sz w:val="24"/>
          <w:szCs w:val="24"/>
        </w:rPr>
        <w:t>I</w:t>
      </w:r>
      <w:r>
        <w:rPr>
          <w:sz w:val="24"/>
          <w:szCs w:val="24"/>
        </w:rPr>
        <w:t xml:space="preserve"> entregar com pontualidade os materiais solicitados;</w:t>
      </w:r>
    </w:p>
    <w:p>
      <w:pPr>
        <w:ind w:left="360" w:right="0" w:firstLine="0"/>
        <w:jc w:val="both"/>
        <w:rPr>
          <w:color w:val="FF0000"/>
          <w:sz w:val="24"/>
          <w:szCs w:val="24"/>
        </w:rPr>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sz w:val="24"/>
          <w:szCs w:val="24"/>
        </w:rPr>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Além das obrigações resultantes da observância da Lei 8.666/93, são obrigações da CONTRATANTE</w:t>
      </w:r>
    </w:p>
    <w:p>
      <w:pPr>
        <w:jc w:val="both"/>
        <w:rPr>
          <w:sz w:val="24"/>
          <w:szCs w:val="24"/>
        </w:rPr>
      </w:pPr>
    </w:p>
    <w:p>
      <w:pPr>
        <w:tabs>
          <w:tab w:val="left" w:pos="360"/>
        </w:tabs>
        <w:ind w:left="360" w:right="0" w:firstLine="0"/>
        <w:jc w:val="both"/>
        <w:rPr>
          <w:sz w:val="24"/>
          <w:szCs w:val="24"/>
        </w:rPr>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r>
        <w:rPr>
          <w:b/>
          <w:bCs/>
          <w:sz w:val="24"/>
          <w:szCs w:val="24"/>
        </w:rPr>
        <w:t>III</w:t>
      </w:r>
      <w:r>
        <w:rPr>
          <w:sz w:val="24"/>
          <w:szCs w:val="24"/>
        </w:rPr>
        <w:t xml:space="preserve"> Notificar a CONTRATADA por escrito e com antecedência, sobre multas, penalidades e quaisquer débitos de sua responsabilidade;</w:t>
      </w: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
        </w:rPr>
      </w:pPr>
      <w:r>
        <w:rPr>
          <w:bCs/>
        </w:rPr>
        <w:t xml:space="preserve">II - multa de </w:t>
      </w:r>
      <w:r>
        <w:rPr>
          <w:b/>
        </w:rPr>
        <w:t>10% (dez por cento</w:t>
      </w:r>
      <w:r>
        <w:rPr>
          <w:bCs/>
        </w:rPr>
        <w:t>) do valor do contrato</w:t>
      </w:r>
      <w:r>
        <w:rPr>
          <w:b/>
        </w:rPr>
        <w:t>,</w:t>
      </w:r>
    </w:p>
    <w:p>
      <w:pPr>
        <w:pStyle w:val="14"/>
        <w:ind w:left="360" w:right="0" w:firstLine="0"/>
        <w:rPr>
          <w:bCs/>
        </w:rPr>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7"/>
          <w:rFonts w:ascii="Calibri" w:hAnsi="Calibri" w:cs="Calibri"/>
          <w:sz w:val="24"/>
        </w:rPr>
        <w:t>(licitacaonavirai@gmail.com)</w:t>
      </w:r>
      <w:r>
        <w:rPr>
          <w:rStyle w:val="207"/>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w:t>
      </w:r>
      <w:r>
        <w:rPr>
          <w:b/>
          <w:sz w:val="24"/>
          <w:szCs w:val="24"/>
          <w:lang w:val="pt-BR"/>
        </w:rPr>
        <w:t>1</w:t>
      </w:r>
      <w:r>
        <w:rPr>
          <w:sz w:val="24"/>
          <w:szCs w:val="24"/>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rPr>
          <w:b/>
          <w:bCs/>
          <w:color w:val="000000"/>
          <w:sz w:val="24"/>
          <w:szCs w:val="24"/>
        </w:rPr>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w:t>
      </w:r>
      <w:r>
        <w:rPr>
          <w:color w:val="000000"/>
          <w:sz w:val="24"/>
          <w:szCs w:val="24"/>
          <w:lang w:val="pt-BR"/>
        </w:rPr>
        <w:t xml:space="preserve"> </w:t>
      </w:r>
      <w:r>
        <w:rPr>
          <w:color w:val="000000"/>
          <w:sz w:val="24"/>
          <w:szCs w:val="24"/>
        </w:rPr>
        <w:t>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20.11</w:t>
      </w:r>
      <w:r>
        <w:rPr>
          <w:b/>
          <w:bCs/>
          <w:color w:val="000000"/>
          <w:sz w:val="24"/>
          <w:szCs w:val="24"/>
          <w:lang w:val="pt-BR"/>
        </w:rPr>
        <w:t xml:space="preserve">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7"/>
          <w:sz w:val="24"/>
          <w:szCs w:val="24"/>
        </w:rPr>
        <w:t>www.navirai.ms.gov.br</w:t>
      </w:r>
      <w:r>
        <w:rPr>
          <w:rStyle w:val="207"/>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rPr>
          <w:color w:val="000000"/>
          <w:sz w:val="24"/>
          <w:szCs w:val="24"/>
        </w:rPr>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color w:val="000000"/>
          <w:sz w:val="24"/>
          <w:szCs w:val="24"/>
        </w:rPr>
      </w:pPr>
      <w:r>
        <w:rPr>
          <w:sz w:val="24"/>
          <w:szCs w:val="24"/>
        </w:rPr>
        <w:t>Anexo X - Ficha De Cadastro De Representante.</w:t>
      </w:r>
    </w:p>
    <w:p>
      <w:pPr>
        <w:tabs>
          <w:tab w:val="left" w:pos="-1800"/>
        </w:tabs>
        <w:ind w:left="0" w:right="0" w:firstLine="2835"/>
        <w:rPr>
          <w:b/>
          <w:color w:val="000000"/>
          <w:sz w:val="24"/>
          <w:szCs w:val="24"/>
        </w:rPr>
      </w:pPr>
    </w:p>
    <w:p>
      <w:pPr>
        <w:tabs>
          <w:tab w:val="left" w:pos="-1800"/>
        </w:tabs>
        <w:jc w:val="both"/>
        <w:rPr>
          <w:sz w:val="24"/>
          <w:szCs w:val="24"/>
        </w:rPr>
      </w:pPr>
      <w:r>
        <w:rPr>
          <w:sz w:val="24"/>
          <w:szCs w:val="24"/>
        </w:rPr>
        <w:t xml:space="preserve">Eu, </w:t>
      </w:r>
      <w:r>
        <w:rPr>
          <w:bCs/>
          <w:color w:val="000000"/>
          <w:sz w:val="24"/>
          <w:szCs w:val="24"/>
        </w:rPr>
        <w:t>Karen Priscila Azevedo Dutra</w:t>
      </w:r>
      <w:r>
        <w:rPr>
          <w:sz w:val="24"/>
          <w:szCs w:val="24"/>
        </w:rPr>
        <w:t xml:space="preserve">, Servidora Pública Municipal, digitei o presente edital com autorização do ordenador de despesas, e eu, </w:t>
      </w:r>
      <w:r>
        <w:rPr>
          <w:rFonts w:eastAsia="Times New Roman" w:cs="Times New Roman"/>
          <w:color w:val="auto"/>
          <w:sz w:val="24"/>
          <w:szCs w:val="24"/>
          <w:lang w:val="pt-BR" w:bidi="ar-SA"/>
        </w:rPr>
        <w:t>Adriano Hilário Talarico Soletti</w:t>
      </w:r>
      <w:r>
        <w:rPr>
          <w:sz w:val="24"/>
          <w:szCs w:val="24"/>
        </w:rPr>
        <w:t>, Gerente do Núcleo de Licitações e Contratos conforme Decreto nº. 034/2021, conferi-o e a subscrevi.</w:t>
      </w:r>
    </w:p>
    <w:p>
      <w:pPr>
        <w:tabs>
          <w:tab w:val="left" w:pos="-1800"/>
        </w:tabs>
        <w:jc w:val="center"/>
        <w:rPr>
          <w:sz w:val="24"/>
          <w:szCs w:val="24"/>
        </w:rPr>
      </w:pPr>
    </w:p>
    <w:p>
      <w:pPr>
        <w:tabs>
          <w:tab w:val="left" w:pos="-1800"/>
        </w:tabs>
        <w:jc w:val="center"/>
        <w:rPr>
          <w:sz w:val="24"/>
          <w:szCs w:val="24"/>
        </w:rPr>
      </w:pPr>
    </w:p>
    <w:p>
      <w:pPr>
        <w:tabs>
          <w:tab w:val="left" w:pos="-1800"/>
        </w:tabs>
        <w:jc w:val="center"/>
        <w:rPr>
          <w:b/>
          <w:bCs/>
          <w:color w:val="000000"/>
          <w:sz w:val="24"/>
          <w:szCs w:val="24"/>
        </w:rPr>
      </w:pPr>
    </w:p>
    <w:p>
      <w:pPr>
        <w:tabs>
          <w:tab w:val="left" w:pos="-1800"/>
        </w:tabs>
        <w:jc w:val="center"/>
        <w:rPr>
          <w:b/>
          <w:bCs/>
          <w:color w:val="000000"/>
          <w:sz w:val="24"/>
          <w:szCs w:val="24"/>
        </w:rPr>
      </w:pPr>
      <w:r>
        <w:rPr>
          <w:b/>
          <w:bCs/>
          <w:color w:val="000000"/>
          <w:sz w:val="24"/>
          <w:szCs w:val="24"/>
        </w:rPr>
        <w:t>Karen Priscila Azevedo Dutra</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9399-8</w:t>
      </w:r>
    </w:p>
    <w:p>
      <w:pPr>
        <w:tabs>
          <w:tab w:val="left" w:pos="-1800"/>
        </w:tabs>
        <w:jc w:val="right"/>
        <w:rPr>
          <w:b w:val="0"/>
          <w:bCs w:val="0"/>
          <w:i w:val="0"/>
          <w:iCs w:val="0"/>
          <w:sz w:val="24"/>
          <w:szCs w:val="24"/>
        </w:rPr>
      </w:pPr>
    </w:p>
    <w:p>
      <w:pPr>
        <w:tabs>
          <w:tab w:val="left" w:pos="-1800"/>
        </w:tabs>
        <w:jc w:val="right"/>
        <w:rPr>
          <w:b w:val="0"/>
          <w:bCs w:val="0"/>
          <w:i w:val="0"/>
          <w:iCs w:val="0"/>
          <w:sz w:val="24"/>
          <w:szCs w:val="24"/>
        </w:rPr>
      </w:pPr>
    </w:p>
    <w:p>
      <w:pPr>
        <w:tabs>
          <w:tab w:val="left" w:pos="-1800"/>
        </w:tabs>
        <w:jc w:val="right"/>
        <w:rPr>
          <w:b w:val="0"/>
          <w:bCs w:val="0"/>
          <w:i w:val="0"/>
          <w:iCs w:val="0"/>
          <w:color w:val="000000"/>
          <w:sz w:val="24"/>
          <w:szCs w:val="24"/>
          <w:lang w:val="pt-BR"/>
        </w:rPr>
      </w:pPr>
      <w:r>
        <w:rPr>
          <w:b w:val="0"/>
          <w:bCs w:val="0"/>
          <w:i w:val="0"/>
          <w:iCs w:val="0"/>
          <w:sz w:val="24"/>
          <w:szCs w:val="24"/>
        </w:rPr>
        <w:t xml:space="preserve">Naviraí - MS, </w:t>
      </w:r>
      <w:r>
        <w:rPr>
          <w:b w:val="0"/>
          <w:bCs w:val="0"/>
          <w:i w:val="0"/>
          <w:iCs w:val="0"/>
          <w:sz w:val="24"/>
          <w:szCs w:val="24"/>
          <w:lang w:val="pt-BR"/>
        </w:rPr>
        <w:t>16 de agosto de 2022.</w:t>
      </w:r>
    </w:p>
    <w:p>
      <w:pPr>
        <w:tabs>
          <w:tab w:val="left" w:pos="-1800"/>
        </w:tabs>
        <w:ind w:right="0" w:firstLine="0"/>
        <w:jc w:val="both"/>
        <w:rPr>
          <w:b/>
          <w:bCs/>
          <w:color w:val="000000"/>
          <w:sz w:val="24"/>
          <w:szCs w:val="24"/>
        </w:rPr>
      </w:pPr>
    </w:p>
    <w:p>
      <w:pPr>
        <w:tabs>
          <w:tab w:val="left" w:pos="-1800"/>
        </w:tabs>
        <w:ind w:right="0" w:firstLine="0"/>
        <w:jc w:val="both"/>
        <w:rPr>
          <w:b/>
          <w:bCs/>
          <w:color w:val="000000"/>
          <w:sz w:val="24"/>
          <w:szCs w:val="24"/>
        </w:rPr>
      </w:pPr>
    </w:p>
    <w:p>
      <w:pPr>
        <w:tabs>
          <w:tab w:val="left" w:pos="-1800"/>
        </w:tabs>
        <w:ind w:right="0" w:firstLine="0"/>
        <w:jc w:val="both"/>
        <w:rPr>
          <w:b/>
          <w:bCs/>
          <w:color w:val="000000"/>
          <w:sz w:val="24"/>
          <w:szCs w:val="24"/>
        </w:rPr>
      </w:pPr>
    </w:p>
    <w:p>
      <w:pPr>
        <w:tabs>
          <w:tab w:val="left" w:pos="-1800"/>
        </w:tabs>
        <w:jc w:val="center"/>
        <w:rPr>
          <w:b/>
          <w:bCs/>
          <w:color w:val="000000"/>
          <w:sz w:val="24"/>
          <w:szCs w:val="24"/>
        </w:rPr>
      </w:pPr>
      <w:r>
        <w:rPr>
          <w:b/>
          <w:bCs/>
          <w:color w:val="000000"/>
          <w:sz w:val="24"/>
          <w:szCs w:val="24"/>
        </w:rPr>
        <w:t>Adriano Hilário Talarico Soletti</w:t>
      </w:r>
    </w:p>
    <w:p>
      <w:pPr>
        <w:tabs>
          <w:tab w:val="left" w:pos="-1800"/>
        </w:tabs>
        <w:jc w:val="center"/>
        <w:rPr>
          <w:color w:val="000000"/>
          <w:sz w:val="24"/>
          <w:szCs w:val="24"/>
        </w:rPr>
      </w:pPr>
      <w:r>
        <w:rPr>
          <w:color w:val="000000"/>
          <w:sz w:val="24"/>
          <w:szCs w:val="24"/>
        </w:rPr>
        <w:t>Gerente do Núcleo de Licitações e Contratos</w:t>
      </w:r>
    </w:p>
    <w:p>
      <w:pPr>
        <w:tabs>
          <w:tab w:val="left" w:pos="-1800"/>
        </w:tabs>
        <w:jc w:val="center"/>
        <w:rPr>
          <w:color w:val="000000"/>
          <w:sz w:val="24"/>
          <w:szCs w:val="24"/>
        </w:rPr>
      </w:pPr>
      <w:r>
        <w:rPr>
          <w:color w:val="000000"/>
          <w:sz w:val="24"/>
          <w:szCs w:val="24"/>
        </w:rPr>
        <w:t xml:space="preserve">Conforme </w:t>
      </w:r>
      <w:r>
        <w:rPr>
          <w:rFonts w:eastAsia="Times New Roman" w:cs="Times New Roman"/>
          <w:color w:val="000000"/>
          <w:sz w:val="24"/>
          <w:szCs w:val="24"/>
          <w:lang w:val="pt-BR" w:bidi="ar-SA"/>
        </w:rPr>
        <w:t>Portaria</w:t>
      </w:r>
      <w:r>
        <w:rPr>
          <w:color w:val="000000"/>
          <w:sz w:val="24"/>
          <w:szCs w:val="24"/>
        </w:rPr>
        <w:t xml:space="preserve"> nº 034/2021</w:t>
      </w: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Pr>
        <w:tabs>
          <w:tab w:val="left" w:pos="-1800"/>
        </w:tabs>
        <w:jc w:val="center"/>
        <w:rPr>
          <w:color w:val="000000"/>
          <w:sz w:val="24"/>
          <w:szCs w:val="24"/>
        </w:rPr>
      </w:pPr>
    </w:p>
    <w:p/>
    <w:p>
      <w:pPr>
        <w:pStyle w:val="7"/>
        <w:numPr>
          <w:ilvl w:val="5"/>
          <w:numId w:val="1"/>
        </w:numPr>
        <w:ind w:left="0" w:right="0" w:hanging="851"/>
        <w:jc w:val="center"/>
        <w:rPr>
          <w:rFonts w:ascii="Times New Roman" w:hAnsi="Times New Roman" w:cs="Times New Roman"/>
          <w:b/>
          <w:bCs/>
          <w:i w:val="0"/>
          <w:szCs w:val="24"/>
        </w:rPr>
      </w:pPr>
    </w:p>
    <w:p>
      <w:pPr>
        <w:pStyle w:val="7"/>
        <w:numPr>
          <w:ilvl w:val="5"/>
          <w:numId w:val="1"/>
        </w:numPr>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sz w:val="24"/>
          <w:szCs w:val="24"/>
          <w:lang w:eastAsia="pt-BR"/>
        </w:rPr>
      </w:pPr>
    </w:p>
    <w:p>
      <w:pPr>
        <w:jc w:val="both"/>
        <w:rPr>
          <w:b/>
          <w:bCs/>
          <w:sz w:val="24"/>
          <w:szCs w:val="24"/>
        </w:rPr>
      </w:pPr>
      <w:r>
        <w:rPr>
          <w:b/>
          <w:bCs/>
          <w:sz w:val="24"/>
          <w:szCs w:val="24"/>
        </w:rPr>
        <w:t>1 OBJETO: REGISTRO DE PREÇO OBJETIVANDO AQUISIÇÃO FUTURA DE GÊNERO ALIMENTÍCIO (HORTIFRUTI), CONFORME TERMO DE REFERÊNCIA, EM ATENDIMENTO AS GERÊNCIAS MUNICIPAIS DE NAVIRAÍ/MS. PEDIDO DE COMPRA Nº 37/2022.</w:t>
      </w:r>
    </w:p>
    <w:p>
      <w:pPr>
        <w:rPr>
          <w:b/>
          <w:bCs/>
          <w:sz w:val="24"/>
          <w:szCs w:val="24"/>
        </w:rPr>
      </w:pPr>
    </w:p>
    <w:tbl>
      <w:tblPr>
        <w:tblStyle w:val="12"/>
        <w:tblW w:w="9195" w:type="dxa"/>
        <w:tblInd w:w="-7" w:type="dxa"/>
        <w:tblLayout w:type="fixed"/>
        <w:tblCellMar>
          <w:top w:w="0" w:type="dxa"/>
          <w:left w:w="108" w:type="dxa"/>
          <w:bottom w:w="0" w:type="dxa"/>
          <w:right w:w="108" w:type="dxa"/>
        </w:tblCellMar>
      </w:tblPr>
      <w:tblGrid>
        <w:gridCol w:w="1229"/>
        <w:gridCol w:w="1229"/>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widowControl w:val="0"/>
              <w:spacing w:before="0" w:after="0" w:line="276" w:lineRule="auto"/>
              <w:jc w:val="center"/>
              <w:rPr>
                <w:rFonts w:eastAsia="Arial Unicode MS"/>
              </w:rPr>
            </w:pPr>
            <w:r>
              <w:rPr>
                <w:rFonts w:eastAsia="Arial Unicode MS"/>
                <w:kern w:val="0"/>
              </w:rPr>
              <w:t>ITEM</w:t>
            </w:r>
          </w:p>
        </w:tc>
        <w:tc>
          <w:tcPr>
            <w:tcW w:w="1229" w:type="dxa"/>
            <w:tcBorders>
              <w:top w:val="single" w:color="000000" w:sz="6" w:space="0"/>
              <w:left w:val="single" w:color="000000" w:sz="6" w:space="0"/>
            </w:tcBorders>
            <w:vAlign w:val="center"/>
          </w:tcPr>
          <w:p>
            <w:pPr>
              <w:widowControl w:val="0"/>
              <w:spacing w:before="0" w:after="0" w:line="276" w:lineRule="auto"/>
              <w:jc w:val="center"/>
              <w:rPr>
                <w:rFonts w:eastAsia="Arial Unicode MS"/>
              </w:rPr>
            </w:pPr>
            <w:r>
              <w:rPr>
                <w:rFonts w:eastAsia="Arial Unicode MS"/>
                <w:kern w:val="0"/>
              </w:rPr>
              <w:t>QT</w:t>
            </w:r>
          </w:p>
        </w:tc>
        <w:tc>
          <w:tcPr>
            <w:tcW w:w="1027" w:type="dxa"/>
            <w:tcBorders>
              <w:top w:val="single" w:color="000000" w:sz="6" w:space="0"/>
              <w:left w:val="single" w:color="000000" w:sz="6" w:space="0"/>
            </w:tcBorders>
            <w:vAlign w:val="center"/>
          </w:tcPr>
          <w:p>
            <w:pPr>
              <w:widowControl w:val="0"/>
              <w:spacing w:before="0" w:after="0" w:line="276" w:lineRule="auto"/>
              <w:jc w:val="center"/>
              <w:rPr>
                <w:rFonts w:eastAsia="Arial Unicode MS"/>
              </w:rPr>
            </w:pPr>
            <w:r>
              <w:rPr>
                <w:rFonts w:eastAsia="Arial Unicode MS"/>
                <w:kern w:val="0"/>
              </w:rPr>
              <w:t>UN</w:t>
            </w:r>
          </w:p>
        </w:tc>
        <w:tc>
          <w:tcPr>
            <w:tcW w:w="5709" w:type="dxa"/>
            <w:tcBorders>
              <w:top w:val="single" w:color="000000" w:sz="6" w:space="0"/>
              <w:left w:val="single" w:color="000000" w:sz="6" w:space="0"/>
              <w:right w:val="single" w:color="000000" w:sz="6" w:space="0"/>
            </w:tcBorders>
            <w:vAlign w:val="center"/>
          </w:tcPr>
          <w:p>
            <w:pPr>
              <w:widowControl w:val="0"/>
              <w:spacing w:before="0" w:after="0" w:line="276" w:lineRule="auto"/>
              <w:jc w:val="center"/>
              <w:rPr>
                <w:rFonts w:eastAsia="Arial Unicode MS"/>
              </w:rPr>
            </w:pPr>
            <w:r>
              <w:rPr>
                <w:rFonts w:eastAsia="Arial Unicode MS"/>
                <w:kern w:val="0"/>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w:t>
            </w:r>
          </w:p>
        </w:tc>
        <w:tc>
          <w:tcPr>
            <w:tcW w:w="1229" w:type="dxa"/>
            <w:tcBorders>
              <w:top w:val="single" w:color="000000" w:sz="4" w:space="0"/>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7.860</w:t>
            </w:r>
          </w:p>
        </w:tc>
        <w:tc>
          <w:tcPr>
            <w:tcW w:w="1027" w:type="dxa"/>
            <w:tcBorders>
              <w:top w:val="single" w:color="000000" w:sz="4" w:space="0"/>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top w:val="single" w:color="000000" w:sz="4" w:space="0"/>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ABACAXI - INTACTO COM TODAS AS PARTES COMESTÍVEIS APROVEITÁVEIS (ASPECTO, COR E SABOR CARACTERÍSTICOS) ENTREGA QUANDO FOR SOLICITADO.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3.000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ALFACE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3.127</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ALHO GRAÚDO - CABEÇAS INTACTAS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4</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38.660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BANANA NANICA - INTACTA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5</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14.400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BATATA INGLESA - INTACTA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6</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6.150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CABOTIÃ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7</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10.658</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CEBOLA NACIONAL - INTACTA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8</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9.720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CENOURA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9</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2.500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CHEIRO VERDE, EMBALADO EM SACO PLÁSTICO COM DOIS A TRÊS MOLHOS, ASPECTO, COR, AROMA E SABOR CARACTERÍSTICOS, COM TODAS AS PARTES COMESTÍVEIS APROVEITÁVEIS.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10</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7.495</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CHUCHU - INTACTO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11</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7.314</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COUVE FLOR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12</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40.120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LARANJA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13</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38.080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MAÇÃ NACIONAL-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14</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9.750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MAMÃO FORMOSO-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15</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1.600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MANDIOCA DESCASCADA, INTACTA,  COM TODAS AS PARTES COMESTÍVEIS,  APROVEITÁVEIS,  DE FÁCIL COZIMENTO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16</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28.750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MELANCIA - INTACTO COM TODAS AS PARTES COMESTÍVEIS APROVEITÁVEIS (ASPECTO, COR E SABOR CARACTERÍSTICOS) ENTREGA QUANDO SOLICITADO.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17</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1.602</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PIMENTÃO - INTACTO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18</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18.940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TOMATE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19</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3.902</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VAGEM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20</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6.008</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BETERRABA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21</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6.818</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BATATA DOCE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22</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3.000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COUVE, MAÇO - INTACTA COM TODAS AS PARTES COMESTÍVEIS APROVEITÁVEIS (ASPECTO, COR E SABOR CARACTERÍSTICOS)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23</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4.110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MANDIOCA SALSA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24</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7.816</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REPOLHO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25</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4.220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BANANA MAÇÃ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26</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2.500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ALMEIRÃO - FOLHAS INTACTAS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27</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1.500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BERINJELA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28</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800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UN</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MAMÃO PAPAYA - INTACTO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29</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2.500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PEPINO JAPONÊS - INTACTO COM TODAS AS PARTES COMESTÍVEIS E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30</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2.063</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LIMÃO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31</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3.420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ACELGA - INTACTOS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32</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6.105</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BRÓCOLIS - INTACTOS COM TODAS AS PARTES COMESTIVIEIS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33</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11.080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MELÃO AMARELO,INTACTO COM TODAS AS PARTES COMESTIVEIS APROVEITÁVEIS (COR E SABOR CARACTERISTICOS) ENTREGA QUANDO SOLICITADO.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34</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4.920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PERA NACIONAL. KG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35</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6.205</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ABOBRINHA VERDE - (MENINA)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36</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HORTELÃ,EMBALADO EM SACO PLÁSTICO COM DOIS A TRÊS MOLHOS, ASPECTO, COR, AROMA E SABOR CARACTERÍSTICOS, COM TODAS AS PARTES COMESTÍVEIS APROVEITÁVEIS.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37</w:t>
            </w:r>
          </w:p>
        </w:tc>
        <w:tc>
          <w:tcPr>
            <w:tcW w:w="1229"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100</w:t>
            </w:r>
          </w:p>
        </w:tc>
        <w:tc>
          <w:tcPr>
            <w:tcW w:w="1027"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5709" w:type="dxa"/>
            <w:tcBorders>
              <w:left w:val="single" w:color="000000" w:sz="6" w:space="0"/>
              <w:bottom w:val="single" w:color="000000" w:sz="4" w:space="0"/>
              <w:right w:val="single" w:color="000000" w:sz="6" w:space="0"/>
            </w:tcBorders>
          </w:tcPr>
          <w:p>
            <w:pPr>
              <w:widowControl w:val="0"/>
              <w:spacing w:before="0" w:after="0" w:line="276" w:lineRule="auto"/>
              <w:jc w:val="both"/>
              <w:rPr>
                <w:rFonts w:eastAsia="Arial Unicode MS"/>
              </w:rPr>
            </w:pPr>
            <w:r>
              <w:rPr>
                <w:rFonts w:eastAsia="Arial Unicode MS"/>
                <w:kern w:val="0"/>
              </w:rPr>
              <w:t>GENGIBRE, INTACTA COM TODAS AS PARTES COMESTÍVEIS APROVEITÁVEIS (ASPECTO, COR E SABOR CARACTERÍSTICOS) ENTREGA DIÁRIA.</w:t>
            </w:r>
          </w:p>
        </w:tc>
      </w:tr>
    </w:tbl>
    <w:p>
      <w:pPr>
        <w:pStyle w:val="7"/>
        <w:numPr>
          <w:ilvl w:val="5"/>
          <w:numId w:val="1"/>
        </w:numPr>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pPr>
        <w:rPr>
          <w:lang w:val="pt-BR"/>
        </w:rPr>
      </w:pPr>
      <w:r>
        <w:rPr>
          <w:b/>
          <w:bCs/>
          <w:sz w:val="24"/>
          <w:szCs w:val="24"/>
        </w:rPr>
        <w:t xml:space="preserve">3 PRAZO PARA A ENTREGA DOS MATERIAIS: </w:t>
      </w:r>
      <w:r>
        <w:rPr>
          <w:b/>
          <w:bCs/>
          <w:sz w:val="24"/>
          <w:szCs w:val="24"/>
          <w:lang w:val="pt-BR"/>
        </w:rPr>
        <w:t>5 (cinco) dias.</w:t>
      </w:r>
    </w:p>
    <w:p>
      <w:pPr>
        <w:rPr>
          <w:b/>
          <w:bCs/>
          <w:sz w:val="24"/>
          <w:szCs w:val="24"/>
        </w:rPr>
      </w:pPr>
    </w:p>
    <w:p>
      <w:pPr>
        <w:rPr>
          <w:lang w:val="pt-BR"/>
        </w:rPr>
      </w:pPr>
      <w:r>
        <w:rPr>
          <w:b/>
          <w:bCs/>
          <w:sz w:val="24"/>
          <w:szCs w:val="24"/>
        </w:rPr>
        <w:t xml:space="preserve">4 PRAZO PARA SUBSTITUIÇÃO: </w:t>
      </w:r>
      <w:r>
        <w:rPr>
          <w:bCs/>
          <w:sz w:val="24"/>
          <w:szCs w:val="24"/>
        </w:rPr>
        <w:t>15 (quinze) dias úteis</w:t>
      </w:r>
      <w:r>
        <w:rPr>
          <w:bCs/>
          <w:sz w:val="24"/>
          <w:szCs w:val="24"/>
          <w:lang w:val="pt-BR"/>
        </w:rPr>
        <w:t>.</w:t>
      </w:r>
    </w:p>
    <w:p>
      <w:pPr>
        <w:rPr>
          <w:b/>
          <w:bCs/>
          <w:sz w:val="24"/>
          <w:szCs w:val="24"/>
        </w:rPr>
      </w:pPr>
    </w:p>
    <w:p>
      <w:pPr>
        <w:rPr>
          <w:lang w:val="pt-BR"/>
        </w:rPr>
      </w:pPr>
      <w:r>
        <w:rPr>
          <w:b/>
          <w:bCs/>
          <w:sz w:val="24"/>
          <w:szCs w:val="24"/>
        </w:rPr>
        <w:t xml:space="preserve">5 LOCAL DE ENTREGA: </w:t>
      </w:r>
      <w:r>
        <w:rPr>
          <w:bCs/>
          <w:sz w:val="24"/>
          <w:szCs w:val="24"/>
        </w:rPr>
        <w:t>Indicado na Ordem de Fornecimento</w:t>
      </w:r>
      <w:r>
        <w:rPr>
          <w:bCs/>
          <w:sz w:val="24"/>
          <w:szCs w:val="24"/>
          <w:lang w:val="pt-BR"/>
        </w:rPr>
        <w:t>.</w:t>
      </w:r>
    </w:p>
    <w:p>
      <w:pPr>
        <w:jc w:val="both"/>
        <w:rPr>
          <w:b/>
          <w:bCs/>
          <w:sz w:val="24"/>
          <w:szCs w:val="24"/>
        </w:rPr>
      </w:pPr>
    </w:p>
    <w:p>
      <w:pPr>
        <w:jc w:val="both"/>
      </w:pPr>
      <w:r>
        <w:rPr>
          <w:b/>
          <w:bCs/>
          <w:sz w:val="24"/>
          <w:szCs w:val="24"/>
        </w:rPr>
        <w:t xml:space="preserve">6 QUANTIDADE MÍNIMA A SER SOLICITADA POR COMPRA: </w:t>
      </w:r>
      <w:r>
        <w:rPr>
          <w:bCs/>
          <w:sz w:val="24"/>
          <w:szCs w:val="24"/>
        </w:rPr>
        <w:t>01 (UMA) UNIDADE</w:t>
      </w:r>
    </w:p>
    <w:p>
      <w:pPr>
        <w:pStyle w:val="7"/>
        <w:numPr>
          <w:ilvl w:val="5"/>
          <w:numId w:val="1"/>
        </w:numPr>
        <w:rPr>
          <w:rFonts w:ascii="Times New Roman" w:hAnsi="Times New Roman" w:cs="Times New Roman"/>
          <w:b/>
          <w:bCs/>
          <w:i w:val="0"/>
          <w:sz w:val="24"/>
          <w:szCs w:val="24"/>
        </w:rPr>
      </w:pPr>
    </w:p>
    <w:p>
      <w:pPr>
        <w:pStyle w:val="7"/>
        <w:numPr>
          <w:ilvl w:val="5"/>
          <w:numId w:val="1"/>
        </w:numPr>
        <w:rPr>
          <w:rFonts w:ascii="Times New Roman" w:hAnsi="Times New Roman" w:cs="Times New Roman"/>
          <w:b/>
          <w:bCs/>
          <w:i w:val="0"/>
          <w:szCs w:val="24"/>
        </w:rPr>
      </w:pPr>
    </w:p>
    <w:p>
      <w:pPr>
        <w:pStyle w:val="7"/>
        <w:numPr>
          <w:ilvl w:val="5"/>
          <w:numId w:val="1"/>
        </w:numPr>
        <w:jc w:val="center"/>
        <w:rPr>
          <w:rFonts w:ascii="Times New Roman" w:hAnsi="Times New Roman" w:cs="Times New Roman"/>
          <w:b/>
          <w:bCs/>
          <w:i w:val="0"/>
          <w:szCs w:val="24"/>
        </w:rPr>
      </w:pPr>
      <w:r>
        <w:drawing>
          <wp:inline distT="0" distB="0" distL="0" distR="0">
            <wp:extent cx="5787390" cy="81838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a:stretch>
                      <a:fillRect/>
                    </a:stretch>
                  </pic:blipFill>
                  <pic:spPr>
                    <a:xfrm>
                      <a:off x="0" y="0"/>
                      <a:ext cx="5787390" cy="8183880"/>
                    </a:xfrm>
                    <a:prstGeom prst="rect">
                      <a:avLst/>
                    </a:prstGeom>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jc w:val="center"/>
        <w:rPr>
          <w:sz w:val="24"/>
          <w:szCs w:val="24"/>
          <w:lang w:eastAsia="pt-BR"/>
        </w:rPr>
      </w:pPr>
      <w:r>
        <w:drawing>
          <wp:inline distT="0" distB="0" distL="0" distR="0">
            <wp:extent cx="5787390" cy="81838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12"/>
                    <a:stretch>
                      <a:fillRect/>
                    </a:stretch>
                  </pic:blipFill>
                  <pic:spPr>
                    <a:xfrm>
                      <a:off x="0" y="0"/>
                      <a:ext cx="5787390" cy="8183880"/>
                    </a:xfrm>
                    <a:prstGeom prst="rect">
                      <a:avLst/>
                    </a:prstGeom>
                  </pic:spPr>
                </pic:pic>
              </a:graphicData>
            </a:graphic>
          </wp:inline>
        </w:drawing>
      </w:r>
    </w:p>
    <w:p>
      <w:pPr>
        <w:pStyle w:val="7"/>
        <w:numPr>
          <w:ilvl w:val="5"/>
          <w:numId w:val="1"/>
        </w:numPr>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0" distR="0">
            <wp:extent cx="5787390" cy="81838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3"/>
                    <a:stretch>
                      <a:fillRect/>
                    </a:stretch>
                  </pic:blipFill>
                  <pic:spPr>
                    <a:xfrm>
                      <a:off x="0" y="0"/>
                      <a:ext cx="5787390" cy="8183880"/>
                    </a:xfrm>
                    <a:prstGeom prst="rect">
                      <a:avLst/>
                    </a:prstGeom>
                  </pic:spPr>
                </pic:pic>
              </a:graphicData>
            </a:graphic>
          </wp:inline>
        </w:drawing>
      </w:r>
    </w:p>
    <w:p>
      <w:pPr>
        <w:rPr>
          <w:sz w:val="24"/>
          <w:szCs w:val="24"/>
          <w:lang w:eastAsia="pt-BR"/>
        </w:rPr>
      </w:pPr>
    </w:p>
    <w:p>
      <w:pPr>
        <w:rPr>
          <w:sz w:val="24"/>
          <w:szCs w:val="24"/>
          <w:lang w:eastAsia="pt-BR"/>
        </w:rPr>
      </w:pPr>
    </w:p>
    <w:p>
      <w:pPr>
        <w:rPr>
          <w:sz w:val="24"/>
          <w:szCs w:val="24"/>
          <w:lang w:eastAsia="pt-BR"/>
        </w:rPr>
        <w:sectPr>
          <w:headerReference r:id="rId4" w:type="default"/>
          <w:footerReference r:id="rId5" w:type="default"/>
          <w:pgSz w:w="11906" w:h="16838"/>
          <w:pgMar w:top="1537" w:right="992" w:bottom="709" w:left="1797" w:header="284" w:footer="459" w:gutter="0"/>
          <w:pgNumType w:fmt="decimal"/>
          <w:cols w:space="720" w:num="1"/>
          <w:formProt w:val="0"/>
          <w:docGrid w:linePitch="272" w:charSpace="0"/>
        </w:sectPr>
      </w:pPr>
    </w:p>
    <w:p>
      <w:pPr>
        <w:pStyle w:val="7"/>
        <w:numPr>
          <w:ilvl w:val="5"/>
          <w:numId w:val="1"/>
        </w:numPr>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numPr>
          <w:ilvl w:val="5"/>
          <w:numId w:val="1"/>
        </w:numPr>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numPr>
                <w:ilvl w:val="3"/>
                <w:numId w:val="1"/>
              </w:numPr>
              <w:spacing w:before="0" w:after="0" w:line="276" w:lineRule="auto"/>
              <w:ind w:left="-567" w:right="-765" w:firstLine="0"/>
              <w:rPr>
                <w:rFonts w:ascii="Times New Roman" w:hAnsi="Times New Roman" w:cs="Times New Roman"/>
                <w:szCs w:val="22"/>
                <w:lang w:eastAsia="en-US"/>
              </w:rPr>
            </w:pPr>
            <w:r>
              <w:rPr>
                <w:rFonts w:ascii="Times New Roman" w:hAnsi="Times New Roman" w:cs="Times New Roman"/>
                <w:kern w:val="0"/>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spacing w:before="0" w:after="0"/>
              <w:jc w:val="left"/>
              <w:rPr>
                <w:rFonts w:ascii="Times New Roman" w:hAnsi="Times New Roman" w:cs="Times New Roman"/>
                <w:b/>
                <w:bCs/>
                <w:i w:val="0"/>
                <w:szCs w:val="24"/>
              </w:rPr>
            </w:pPr>
          </w:p>
        </w:tc>
        <w:tc>
          <w:tcPr>
            <w:tcW w:w="2551" w:type="dxa"/>
            <w:tcBorders>
              <w:top w:val="single" w:color="000000" w:sz="6" w:space="0"/>
              <w:left w:val="single" w:color="000000" w:sz="6" w:space="0"/>
              <w:bottom w:val="single" w:color="000000" w:sz="6" w:space="0"/>
            </w:tcBorders>
          </w:tcPr>
          <w:p>
            <w:pPr>
              <w:widowControl w:val="0"/>
              <w:spacing w:before="0" w:after="0" w:line="276" w:lineRule="auto"/>
              <w:jc w:val="both"/>
              <w:rPr>
                <w:rFonts w:eastAsia="Arial Unicode MS"/>
                <w:b/>
                <w:color w:val="FF0000"/>
                <w:sz w:val="22"/>
                <w:szCs w:val="22"/>
              </w:rPr>
            </w:pPr>
            <w:r>
              <w:rPr>
                <w:rFonts w:eastAsia="Arial Unicode MS"/>
                <w:b/>
                <w:color w:val="FF0000"/>
                <w:kern w:val="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before="0" w:after="0" w:line="276" w:lineRule="auto"/>
              <w:jc w:val="both"/>
              <w:rPr>
                <w:rFonts w:ascii="Times New Roman" w:hAnsi="Times New Roman" w:cs="Times New Roman"/>
                <w:b/>
                <w:bCs/>
                <w:i w:val="0"/>
                <w:szCs w:val="24"/>
              </w:rPr>
            </w:pPr>
            <w:r>
              <w:rPr>
                <w:rFonts w:eastAsia="Arial Unicode MS"/>
                <w:b/>
                <w:color w:val="FF0000"/>
                <w:kern w:val="0"/>
                <w:sz w:val="22"/>
                <w:szCs w:val="22"/>
              </w:rPr>
              <w:t>88/2022</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before="0" w:after="0" w:line="276" w:lineRule="auto"/>
              <w:jc w:val="both"/>
              <w:rPr>
                <w:rFonts w:eastAsia="Arial Unicode MS"/>
                <w:sz w:val="22"/>
                <w:szCs w:val="22"/>
              </w:rPr>
            </w:pPr>
            <w:r>
              <w:rPr>
                <w:rFonts w:eastAsia="Arial Unicode MS"/>
                <w:kern w:val="0"/>
                <w:sz w:val="22"/>
                <w:szCs w:val="22"/>
              </w:rPr>
              <w:t>RAZÃO SOCIAL:</w:t>
            </w:r>
          </w:p>
        </w:tc>
        <w:tc>
          <w:tcPr>
            <w:tcW w:w="3579" w:type="dxa"/>
            <w:gridSpan w:val="2"/>
          </w:tcPr>
          <w:p>
            <w:pPr>
              <w:widowControl w:val="0"/>
              <w:spacing w:before="0" w:after="0" w:line="276" w:lineRule="auto"/>
              <w:jc w:val="both"/>
              <w:rPr>
                <w:rFonts w:eastAsia="Arial Unicode MS"/>
                <w:sz w:val="22"/>
                <w:szCs w:val="22"/>
              </w:rPr>
            </w:pPr>
            <w:r>
              <w:rPr>
                <w:rFonts w:eastAsia="Arial Unicode MS"/>
                <w:kern w:val="0"/>
                <w:sz w:val="22"/>
                <w:szCs w:val="22"/>
              </w:rPr>
              <w:t>CNPJ:</w:t>
            </w:r>
          </w:p>
        </w:tc>
        <w:tc>
          <w:tcPr>
            <w:tcW w:w="3948" w:type="dxa"/>
            <w:tcBorders>
              <w:right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before="0" w:after="0" w:line="276" w:lineRule="auto"/>
              <w:jc w:val="both"/>
              <w:rPr>
                <w:rFonts w:eastAsia="Arial Unicode MS"/>
                <w:sz w:val="22"/>
                <w:szCs w:val="22"/>
              </w:rPr>
            </w:pPr>
            <w:r>
              <w:rPr>
                <w:rFonts w:eastAsia="Arial Unicode MS"/>
                <w:kern w:val="0"/>
                <w:sz w:val="22"/>
                <w:szCs w:val="22"/>
              </w:rPr>
              <w:t>ENDEREÇO:</w:t>
            </w:r>
          </w:p>
        </w:tc>
        <w:tc>
          <w:tcPr>
            <w:tcW w:w="3579" w:type="dxa"/>
            <w:gridSpan w:val="2"/>
            <w:tcBorders>
              <w:bottom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FONE-FAX</w:t>
            </w:r>
          </w:p>
        </w:tc>
        <w:tc>
          <w:tcPr>
            <w:tcW w:w="3948" w:type="dxa"/>
            <w:tcBorders>
              <w:bottom w:val="single" w:color="000000" w:sz="6" w:space="0"/>
              <w:right w:val="single" w:color="000000" w:sz="6" w:space="0"/>
            </w:tcBorders>
          </w:tcPr>
          <w:p>
            <w:pPr>
              <w:widowControl w:val="0"/>
              <w:spacing w:before="0" w:after="0" w:line="276" w:lineRule="auto"/>
              <w:jc w:val="both"/>
              <w:rPr>
                <w:rFonts w:eastAsia="Arial Unicode MS"/>
                <w:sz w:val="22"/>
                <w:szCs w:val="22"/>
              </w:rPr>
            </w:pPr>
            <w:r>
              <w:rPr>
                <w:rFonts w:eastAsia="Arial Unicode MS"/>
                <w:kern w:val="0"/>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fixed"/>
        <w:tblCellMar>
          <w:top w:w="0" w:type="dxa"/>
          <w:left w:w="108" w:type="dxa"/>
          <w:bottom w:w="0" w:type="dxa"/>
          <w:right w:w="108" w:type="dxa"/>
        </w:tblCellMar>
      </w:tblPr>
      <w:tblGrid>
        <w:gridCol w:w="832"/>
        <w:gridCol w:w="916"/>
        <w:gridCol w:w="696"/>
        <w:gridCol w:w="7643"/>
        <w:gridCol w:w="1656"/>
        <w:gridCol w:w="1393"/>
        <w:gridCol w:w="1706"/>
      </w:tblGrid>
      <w:tr>
        <w:tblPrEx>
          <w:tblCellMar>
            <w:top w:w="0" w:type="dxa"/>
            <w:left w:w="108" w:type="dxa"/>
            <w:bottom w:w="0" w:type="dxa"/>
            <w:right w:w="108" w:type="dxa"/>
          </w:tblCellMar>
        </w:tblPrEx>
        <w:trPr>
          <w:trHeight w:val="364" w:hRule="atLeast"/>
        </w:trPr>
        <w:tc>
          <w:tcPr>
            <w:tcW w:w="832" w:type="dxa"/>
            <w:tcBorders>
              <w:top w:val="single" w:color="000000" w:sz="6" w:space="0"/>
              <w:left w:val="single" w:color="000000" w:sz="6" w:space="0"/>
            </w:tcBorders>
          </w:tcPr>
          <w:p>
            <w:pPr>
              <w:widowControl w:val="0"/>
              <w:spacing w:before="0" w:after="0" w:line="276" w:lineRule="auto"/>
              <w:jc w:val="center"/>
              <w:rPr>
                <w:rFonts w:ascii="Times New Roman" w:hAnsi="Times New Roman" w:cs="Times New Roman"/>
                <w:b/>
                <w:bCs/>
                <w:i w:val="0"/>
                <w:szCs w:val="24"/>
              </w:rPr>
            </w:pPr>
            <w:r>
              <w:rPr>
                <w:rFonts w:eastAsia="Times New Roman"/>
                <w:b/>
                <w:i/>
                <w:kern w:val="0"/>
              </w:rPr>
              <w:t xml:space="preserve"> </w:t>
            </w:r>
            <w:r>
              <w:rPr>
                <w:rFonts w:eastAsia="Arial Unicode MS"/>
                <w:kern w:val="0"/>
              </w:rPr>
              <w:t>ITEM</w:t>
            </w:r>
          </w:p>
        </w:tc>
        <w:tc>
          <w:tcPr>
            <w:tcW w:w="916" w:type="dxa"/>
            <w:tcBorders>
              <w:top w:val="single" w:color="000000" w:sz="6" w:space="0"/>
              <w:left w:val="single" w:color="000000" w:sz="6" w:space="0"/>
            </w:tcBorders>
          </w:tcPr>
          <w:p>
            <w:pPr>
              <w:widowControl w:val="0"/>
              <w:spacing w:before="0" w:after="0" w:line="276" w:lineRule="auto"/>
              <w:jc w:val="center"/>
              <w:rPr>
                <w:rFonts w:eastAsia="Arial Unicode MS"/>
              </w:rPr>
            </w:pPr>
            <w:r>
              <w:rPr>
                <w:rFonts w:eastAsia="Arial Unicode MS"/>
                <w:kern w:val="0"/>
              </w:rPr>
              <w:t>QT</w:t>
            </w:r>
          </w:p>
        </w:tc>
        <w:tc>
          <w:tcPr>
            <w:tcW w:w="696" w:type="dxa"/>
            <w:tcBorders>
              <w:top w:val="single" w:color="000000" w:sz="6" w:space="0"/>
              <w:left w:val="single" w:color="000000" w:sz="6" w:space="0"/>
            </w:tcBorders>
          </w:tcPr>
          <w:p>
            <w:pPr>
              <w:widowControl w:val="0"/>
              <w:spacing w:before="0" w:after="0" w:line="276" w:lineRule="auto"/>
              <w:jc w:val="center"/>
              <w:rPr>
                <w:rFonts w:eastAsia="Arial Unicode MS"/>
              </w:rPr>
            </w:pPr>
            <w:r>
              <w:rPr>
                <w:rFonts w:eastAsia="Arial Unicode MS"/>
                <w:kern w:val="0"/>
              </w:rPr>
              <w:t>UN</w:t>
            </w:r>
          </w:p>
        </w:tc>
        <w:tc>
          <w:tcPr>
            <w:tcW w:w="7643" w:type="dxa"/>
            <w:tcBorders>
              <w:top w:val="single" w:color="000000" w:sz="6" w:space="0"/>
              <w:left w:val="single" w:color="000000" w:sz="6" w:space="0"/>
            </w:tcBorders>
          </w:tcPr>
          <w:p>
            <w:pPr>
              <w:widowControl w:val="0"/>
              <w:spacing w:before="0" w:after="0" w:line="276" w:lineRule="auto"/>
              <w:jc w:val="center"/>
              <w:rPr>
                <w:rFonts w:ascii="Times New Roman" w:hAnsi="Times New Roman" w:cs="Times New Roman"/>
                <w:b/>
                <w:bCs/>
                <w:i w:val="0"/>
                <w:szCs w:val="24"/>
              </w:rPr>
            </w:pPr>
            <w:r>
              <w:rPr>
                <w:rFonts w:eastAsia="Times New Roman"/>
                <w:kern w:val="0"/>
              </w:rPr>
              <w:t xml:space="preserve">   </w:t>
            </w:r>
            <w:r>
              <w:rPr>
                <w:rFonts w:eastAsia="Arial Unicode MS"/>
                <w:kern w:val="0"/>
              </w:rPr>
              <w:t>ESPECIFICAÇÃO</w:t>
            </w:r>
          </w:p>
        </w:tc>
        <w:tc>
          <w:tcPr>
            <w:tcW w:w="1656" w:type="dxa"/>
            <w:tcBorders>
              <w:top w:val="single" w:color="000000" w:sz="6" w:space="0"/>
              <w:left w:val="single" w:color="000000" w:sz="6" w:space="0"/>
            </w:tcBorders>
          </w:tcPr>
          <w:p>
            <w:pPr>
              <w:widowControl w:val="0"/>
              <w:spacing w:before="0" w:after="0" w:line="276" w:lineRule="auto"/>
              <w:jc w:val="center"/>
              <w:rPr>
                <w:rFonts w:eastAsia="Arial Unicode MS"/>
              </w:rPr>
            </w:pPr>
            <w:r>
              <w:rPr>
                <w:rFonts w:eastAsia="Arial Unicode MS"/>
                <w:kern w:val="0"/>
              </w:rPr>
              <w:t>MARCA</w:t>
            </w:r>
          </w:p>
        </w:tc>
        <w:tc>
          <w:tcPr>
            <w:tcW w:w="1393" w:type="dxa"/>
            <w:tcBorders>
              <w:top w:val="single" w:color="000000" w:sz="6" w:space="0"/>
              <w:left w:val="single" w:color="000000" w:sz="6" w:space="0"/>
            </w:tcBorders>
          </w:tcPr>
          <w:p>
            <w:pPr>
              <w:widowControl w:val="0"/>
              <w:spacing w:before="0" w:after="0" w:line="276" w:lineRule="auto"/>
              <w:jc w:val="center"/>
              <w:rPr>
                <w:rFonts w:eastAsia="Arial Unicode MS"/>
              </w:rPr>
            </w:pPr>
            <w:r>
              <w:rPr>
                <w:rFonts w:eastAsia="Arial Unicode MS"/>
                <w:kern w:val="0"/>
              </w:rPr>
              <w:t>P. UNIT.</w:t>
            </w:r>
          </w:p>
        </w:tc>
        <w:tc>
          <w:tcPr>
            <w:tcW w:w="1706" w:type="dxa"/>
            <w:tcBorders>
              <w:top w:val="single" w:color="000000" w:sz="6" w:space="0"/>
              <w:left w:val="single" w:color="000000" w:sz="6" w:space="0"/>
              <w:right w:val="single" w:color="000000" w:sz="6" w:space="0"/>
            </w:tcBorders>
          </w:tcPr>
          <w:p>
            <w:pPr>
              <w:widowControl w:val="0"/>
              <w:spacing w:before="0" w:after="0" w:line="276" w:lineRule="auto"/>
              <w:jc w:val="center"/>
              <w:rPr>
                <w:rFonts w:eastAsia="Arial Unicode MS"/>
              </w:rPr>
            </w:pPr>
            <w:r>
              <w:rPr>
                <w:rFonts w:eastAsia="Arial Unicode MS"/>
                <w:kern w:val="0"/>
              </w:rPr>
              <w:t>P. TOTAL</w:t>
            </w:r>
          </w:p>
        </w:tc>
      </w:tr>
      <w:tr>
        <w:tblPrEx>
          <w:tblCellMar>
            <w:top w:w="0" w:type="dxa"/>
            <w:left w:w="108" w:type="dxa"/>
            <w:bottom w:w="0" w:type="dxa"/>
            <w:right w:w="108" w:type="dxa"/>
          </w:tblCellMar>
        </w:tblPrEx>
        <w:tc>
          <w:tcPr>
            <w:tcW w:w="832" w:type="dxa"/>
            <w:tcBorders>
              <w:top w:val="single" w:color="000000" w:sz="4" w:space="0"/>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w:t>
            </w:r>
          </w:p>
        </w:tc>
        <w:tc>
          <w:tcPr>
            <w:tcW w:w="916" w:type="dxa"/>
            <w:tcBorders>
              <w:top w:val="single" w:color="000000" w:sz="4" w:space="0"/>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7.860,0</w:t>
            </w:r>
          </w:p>
        </w:tc>
        <w:tc>
          <w:tcPr>
            <w:tcW w:w="696" w:type="dxa"/>
            <w:tcBorders>
              <w:top w:val="single" w:color="000000" w:sz="4" w:space="0"/>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top w:val="single" w:color="000000" w:sz="4" w:space="0"/>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ABACAXI - INTACTO COM TODAS AS PARTES COMESTÍVEIS APROVEITÁVEIS (ASPECTO, COR E SABOR CARACTERÍSTICOS) ENTREGA QUANDO FOR SOLICITADO.</w:t>
            </w:r>
          </w:p>
        </w:tc>
        <w:tc>
          <w:tcPr>
            <w:tcW w:w="1656" w:type="dxa"/>
            <w:tcBorders>
              <w:top w:val="single" w:color="000000" w:sz="4" w:space="0"/>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top w:val="single" w:color="000000" w:sz="4" w:space="0"/>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top w:val="single" w:color="000000" w:sz="4" w:space="0"/>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3.000,0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ALFACE - INTACTO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3.127,0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ALHO GRAÚDO - CABEÇAS INTACTAS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4</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38.660,0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BANANA NANICA - INTACTA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5</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14.400,0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BATATA INGLESA - INTACTA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6</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6.150,0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CABOTIÃ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7</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10.658,0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CEBOLA NACIONAL - INTACTA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8</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9.720,0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CENOURA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9</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2.500,0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CHEIRO VERDE, EMBALADO EM SACO PLÁSTICO COM DOIS A TRÊS MOLHOS, ASPECTO, COR, AROMA E SABOR CARACTERÍSTICOS, COM TODAS AS PARTES COMESTÍVEIS APROVEITÁVEIS.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10</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7.495,0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CHUCHU - INTACTO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11</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7.314,0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COUVE FLOR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12</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40.120,0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LARANJA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13</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38.080,0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MAÇÃ NACIONAL-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14</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9.750,0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MAMÃO FORMOSO- INTACTO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15</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1.600,0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MANDIOCA DESCASCADA, INTACTA,  COM TODAS AS PARTES COMESTÍVEIS,  APROVEITÁVEIS,  DE FÁCIL COZIMENTO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16</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28.750,0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MELANCIA - INTACTO COM TODAS AS PARTES COMESTÍVEIS APROVEITÁVEIS (ASPECTO, COR E SABOR CARACTERÍSTICOS) ENTREGA QUANDO SOLICITADO.</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17</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1.602,0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PIMENTÃO - INTACTO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18</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18.940,0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TOMATE -  INTACTO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19</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3.902,0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VAGEM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20</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6.008,0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BETERRABA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21</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6.818,0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BATATA DOCE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22</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3.000,0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COUVE, MAÇO - INTACTA COM TODAS AS PARTES COMESTÍVEIS APROVEITÁVEIS (ASPECTO, COR E SABOR CARACTERÍSTICOS) .</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23</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4.110,0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MANDIOCA SALSA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24</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7.816,0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REPOLHO - INTACTO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25</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4.220,0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BANANA MAÇÃ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26</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2.500,0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ALMEIRÃO - FOLHAS INTACTAS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27</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1.500,0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BERINJELA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28</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800,0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UN</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MAMÃO PAPAYA - INTACTO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29</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2.500,0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PEPINO JAPONÊS - INTACTO COM TODAS AS PARTES COMESTÍVEIS E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30</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2.063,0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LIMÃO - INTACTO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31</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3.420,0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ACELGA - INTACTOS COM TODAS AS PARTES COMESTÍVEIS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32</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6.105,0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BRÓCOLIS - INTACTOS COM TODAS AS PARTES COMESTIVIEIS APROVEITÁVEIS, ASPECTO, COR E SABOR CARACTERÍSTICOS.</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33</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11.080,0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MELÃO AMARELO,INTACTO COM TODAS AS PARTES COMESTIVEIS APROVEITÁVEIS (COR E SABOR CARACTERISTICOS) ENTREGA QUANDO SOLICITADO.</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34</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4.920,0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PERA NACIONAL. KG -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35</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6.205,0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ABOBRINHA VERDE - (MENINA)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36</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200,0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HORTELÃ,EMBALADO EM SACO PLÁSTICO COM DOIS A TRÊS MOLHOS, ASPECTO, COR, AROMA E SABOR CARACTERÍSTICOS, COM TODAS AS PARTES COMESTÍVEIS APROVEITÁVEIS.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r>
        <w:tblPrEx>
          <w:tblCellMar>
            <w:top w:w="0" w:type="dxa"/>
            <w:left w:w="108" w:type="dxa"/>
            <w:bottom w:w="0" w:type="dxa"/>
            <w:right w:w="108" w:type="dxa"/>
          </w:tblCellMar>
        </w:tblPrEx>
        <w:tc>
          <w:tcPr>
            <w:tcW w:w="832" w:type="dxa"/>
            <w:tcBorders>
              <w:left w:val="single" w:color="000000" w:sz="4" w:space="0"/>
              <w:bottom w:val="single" w:color="000000" w:sz="4" w:space="0"/>
            </w:tcBorders>
          </w:tcPr>
          <w:p>
            <w:pPr>
              <w:widowControl w:val="0"/>
              <w:spacing w:before="0" w:after="0" w:line="276" w:lineRule="auto"/>
              <w:jc w:val="center"/>
              <w:rPr>
                <w:rFonts w:eastAsia="Arial Unicode MS"/>
              </w:rPr>
            </w:pPr>
            <w:r>
              <w:rPr>
                <w:rFonts w:eastAsia="Arial Unicode MS"/>
                <w:kern w:val="0"/>
              </w:rPr>
              <w:t>37</w:t>
            </w:r>
          </w:p>
        </w:tc>
        <w:tc>
          <w:tcPr>
            <w:tcW w:w="91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100,0</w:t>
            </w:r>
          </w:p>
        </w:tc>
        <w:tc>
          <w:tcPr>
            <w:tcW w:w="696" w:type="dxa"/>
            <w:tcBorders>
              <w:left w:val="single" w:color="000000" w:sz="6" w:space="0"/>
              <w:bottom w:val="single" w:color="000000" w:sz="4" w:space="0"/>
            </w:tcBorders>
          </w:tcPr>
          <w:p>
            <w:pPr>
              <w:widowControl w:val="0"/>
              <w:spacing w:before="0" w:after="0" w:line="276" w:lineRule="auto"/>
              <w:jc w:val="center"/>
              <w:rPr>
                <w:rFonts w:eastAsia="Arial Unicode MS"/>
              </w:rPr>
            </w:pPr>
            <w:r>
              <w:rPr>
                <w:rFonts w:eastAsia="Arial Unicode MS"/>
                <w:kern w:val="0"/>
              </w:rPr>
              <w:t>KG</w:t>
            </w:r>
          </w:p>
        </w:tc>
        <w:tc>
          <w:tcPr>
            <w:tcW w:w="7643" w:type="dxa"/>
            <w:tcBorders>
              <w:left w:val="single" w:color="000000" w:sz="6" w:space="0"/>
              <w:bottom w:val="single" w:color="000000" w:sz="4" w:space="0"/>
            </w:tcBorders>
          </w:tcPr>
          <w:p>
            <w:pPr>
              <w:widowControl w:val="0"/>
              <w:spacing w:before="0" w:after="0" w:line="276" w:lineRule="auto"/>
              <w:jc w:val="both"/>
              <w:rPr>
                <w:rFonts w:eastAsia="Arial Unicode MS"/>
              </w:rPr>
            </w:pPr>
            <w:r>
              <w:rPr>
                <w:rFonts w:eastAsia="Arial Unicode MS"/>
                <w:kern w:val="0"/>
              </w:rPr>
              <w:t>GENGIBRE, INTACTA COM TODAS AS PARTES COMESTÍVEIS APROVEITÁVEIS (ASPECTO, COR E SABOR CARACTERÍSTICOS) ENTREGA DIÁRIA.</w:t>
            </w:r>
          </w:p>
        </w:tc>
        <w:tc>
          <w:tcPr>
            <w:tcW w:w="1656"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393" w:type="dxa"/>
            <w:tcBorders>
              <w:left w:val="single" w:color="000000" w:sz="6" w:space="0"/>
              <w:bottom w:val="single" w:color="000000" w:sz="4" w:space="0"/>
            </w:tcBorders>
          </w:tcPr>
          <w:p>
            <w:pPr>
              <w:widowControl w:val="0"/>
              <w:snapToGrid w:val="0"/>
              <w:spacing w:before="0" w:after="0" w:line="276" w:lineRule="auto"/>
              <w:jc w:val="center"/>
              <w:rPr>
                <w:rFonts w:eastAsia="Arial Unicode MS"/>
              </w:rPr>
            </w:pPr>
          </w:p>
        </w:tc>
        <w:tc>
          <w:tcPr>
            <w:tcW w:w="1706" w:type="dxa"/>
            <w:tcBorders>
              <w:left w:val="single" w:color="000000" w:sz="4" w:space="0"/>
              <w:bottom w:val="single" w:color="000000" w:sz="4" w:space="0"/>
              <w:right w:val="single" w:color="000000" w:sz="4" w:space="0"/>
            </w:tcBorders>
          </w:tcPr>
          <w:p>
            <w:pPr>
              <w:widowControl w:val="0"/>
              <w:snapToGrid w:val="0"/>
              <w:spacing w:before="0" w:after="0" w:line="276" w:lineRule="auto"/>
              <w:jc w:val="center"/>
              <w:rPr>
                <w:rFonts w:eastAsia="Arial Unicode MS"/>
              </w:rPr>
            </w:pPr>
          </w:p>
        </w:tc>
      </w:tr>
    </w:tbl>
    <w:p>
      <w:pPr>
        <w:pStyle w:val="3"/>
        <w:numPr>
          <w:ilvl w:val="1"/>
          <w:numId w:val="1"/>
        </w:numPr>
        <w:tabs>
          <w:tab w:val="left" w:pos="1065"/>
        </w:tabs>
        <w:jc w:val="left"/>
        <w:rPr>
          <w:rFonts w:ascii="Times New Roman" w:hAnsi="Times New Roman" w:eastAsia="Arial Unicode MS" w:cs="Times New Roman"/>
          <w:i w:val="0"/>
          <w:szCs w:val="2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before="0" w:after="0" w:line="276" w:lineRule="auto"/>
              <w:jc w:val="left"/>
              <w:rPr>
                <w:rFonts w:eastAsia="Arial Unicode MS"/>
                <w:sz w:val="24"/>
                <w:szCs w:val="24"/>
              </w:rPr>
            </w:pPr>
            <w:r>
              <w:rPr>
                <w:rFonts w:eastAsia="Arial Unicode MS"/>
                <w:kern w:val="0"/>
                <w:sz w:val="24"/>
                <w:szCs w:val="24"/>
              </w:rPr>
              <w:t>TOTAL GERAL R$ -</w:t>
            </w:r>
          </w:p>
        </w:tc>
      </w:tr>
    </w:tbl>
    <w:p>
      <w:pPr>
        <w:ind w:left="-142" w:right="0" w:firstLine="0"/>
        <w:jc w:val="both"/>
        <w:rPr>
          <w:rFonts w:eastAsia="Arial Unicode MS"/>
          <w:sz w:val="24"/>
          <w:szCs w:val="24"/>
        </w:rPr>
      </w:pPr>
    </w:p>
    <w:p>
      <w:pPr>
        <w:ind w:left="-142" w:right="0" w:firstLine="0"/>
        <w:jc w:val="both"/>
        <w:rPr>
          <w:rFonts w:ascii="Times New Roman" w:hAnsi="Times New Roman" w:cs="Times New Roman"/>
          <w:b/>
          <w:bCs/>
          <w:i w:val="0"/>
          <w:szCs w:val="24"/>
        </w:rPr>
      </w:pPr>
      <w:r>
        <w:rPr>
          <w:rFonts w:eastAsia="Arial Unicode MS"/>
          <w:sz w:val="24"/>
          <w:szCs w:val="24"/>
        </w:rPr>
        <w:t>Declaro que examinei, conheço e me submeto a todas as condições contidas no Edital da presente Licitação modalidade Pregão Presenciais nº.</w:t>
      </w:r>
      <w:r>
        <w:rPr>
          <w:rFonts w:eastAsia="Arial Unicode MS"/>
          <w:b/>
          <w:bCs/>
          <w:sz w:val="24"/>
          <w:szCs w:val="24"/>
        </w:rPr>
        <w:t xml:space="preserve"> 88/2022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rPr>
          <w:rFonts w:ascii="Times New Roman" w:hAnsi="Times New Roman" w:cs="Times New Roman"/>
          <w:b/>
          <w:bCs/>
          <w:i w:val="0"/>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2022.</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b/>
          <w:bCs/>
          <w:sz w:val="24"/>
          <w:szCs w:val="24"/>
        </w:rPr>
        <w:sectPr>
          <w:headerReference r:id="rId6" w:type="default"/>
          <w:footerReference r:id="rId7" w:type="default"/>
          <w:pgSz w:w="16838" w:h="11906" w:orient="landscape"/>
          <w:pgMar w:top="1797" w:right="1537" w:bottom="992" w:left="709" w:header="284" w:footer="459" w:gutter="0"/>
          <w:pgNumType w:fmt="decimal"/>
          <w:cols w:space="720" w:num="1"/>
          <w:formProt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______/2022</w:t>
      </w:r>
    </w:p>
    <w:p>
      <w:pPr>
        <w:jc w:val="center"/>
        <w:rPr>
          <w:b/>
          <w:bCs/>
          <w:sz w:val="24"/>
          <w:szCs w:val="24"/>
          <w:lang w:eastAsia="pt-BR"/>
        </w:rPr>
      </w:pPr>
    </w:p>
    <w:p>
      <w:pPr>
        <w:jc w:val="both"/>
        <w:rPr>
          <w:b/>
          <w:bCs/>
          <w:sz w:val="24"/>
          <w:szCs w:val="24"/>
          <w:lang w:eastAsia="pt-BR"/>
        </w:rPr>
      </w:pPr>
    </w:p>
    <w:p>
      <w:pPr>
        <w:jc w:val="center"/>
        <w:rPr>
          <w:rFonts w:ascii="Times New Roman" w:hAnsi="Times New Roman" w:cs="Times New Roman"/>
          <w:b/>
          <w:bCs/>
          <w:i w:val="0"/>
          <w:szCs w:val="24"/>
        </w:rPr>
      </w:pPr>
      <w:r>
        <w:rPr>
          <w:b/>
          <w:bCs/>
          <w:sz w:val="24"/>
          <w:szCs w:val="24"/>
          <w:lang w:eastAsia="pt-BR"/>
        </w:rPr>
        <w:t xml:space="preserve">PROCESSO Nº 206/2022 </w:t>
      </w:r>
    </w:p>
    <w:p>
      <w:pPr>
        <w:jc w:val="center"/>
        <w:rPr>
          <w:rFonts w:ascii="Times New Roman" w:hAnsi="Times New Roman" w:cs="Times New Roman"/>
          <w:b/>
          <w:bCs/>
          <w:i w:val="0"/>
          <w:szCs w:val="24"/>
        </w:rPr>
      </w:pPr>
      <w:r>
        <w:rPr>
          <w:b/>
          <w:bCs/>
          <w:sz w:val="24"/>
          <w:szCs w:val="24"/>
          <w:lang w:eastAsia="pt-BR"/>
        </w:rPr>
        <w:t>PREGÃO PRESENCIAL Nº 88/ 2022</w:t>
      </w:r>
    </w:p>
    <w:p>
      <w:pPr>
        <w:jc w:val="center"/>
        <w:rPr>
          <w:b/>
          <w:bCs/>
          <w:sz w:val="24"/>
          <w:szCs w:val="24"/>
          <w:lang w:eastAsia="pt-BR"/>
        </w:rPr>
      </w:pPr>
    </w:p>
    <w:p>
      <w:pPr>
        <w:jc w:val="both"/>
        <w:rPr>
          <w:b/>
          <w:bCs/>
          <w:sz w:val="24"/>
          <w:szCs w:val="24"/>
          <w:lang w:eastAsia="pt-BR"/>
        </w:rPr>
      </w:pPr>
    </w:p>
    <w:p>
      <w:pPr>
        <w:pStyle w:val="8"/>
        <w:numPr>
          <w:ilvl w:val="6"/>
          <w:numId w:val="1"/>
        </w:numPr>
        <w:spacing w:before="0" w:after="0"/>
        <w:rPr>
          <w:rFonts w:ascii="Times New Roman" w:hAnsi="Times New Roman" w:cs="Times New Roman"/>
          <w:sz w:val="24"/>
          <w:szCs w:val="24"/>
        </w:rPr>
      </w:pPr>
      <w:r>
        <w:rPr>
          <w:rFonts w:ascii="Times New Roman" w:hAnsi="Times New Roman" w:cs="Times New Roman"/>
          <w:sz w:val="24"/>
          <w:szCs w:val="24"/>
        </w:rPr>
        <w:t>PREÂMBULO</w:t>
      </w:r>
    </w:p>
    <w:p>
      <w:pPr>
        <w:rPr>
          <w:rFonts w:ascii="Times New Roman" w:hAnsi="Times New Roman" w:cs="Times New Roman"/>
          <w:sz w:val="24"/>
          <w:szCs w:val="24"/>
        </w:rPr>
      </w:pPr>
    </w:p>
    <w:p>
      <w:pPr>
        <w:ind w:left="0" w:right="-97" w:firstLine="0"/>
        <w:jc w:val="both"/>
        <w:rPr>
          <w:rFonts w:ascii="Times New Roman" w:hAnsi="Times New Roman" w:cs="Times New Roman"/>
          <w:sz w:val="24"/>
          <w:szCs w:val="24"/>
          <w:lang w:eastAsia="pt-BR"/>
        </w:rPr>
      </w:pPr>
    </w:p>
    <w:p>
      <w:pPr>
        <w:jc w:val="both"/>
        <w:rPr>
          <w:rFonts w:ascii="Times New Roman" w:hAnsi="Times New Roman" w:cs="Times New Roman"/>
          <w:b/>
          <w:bCs/>
          <w:i w:val="0"/>
          <w:szCs w:val="24"/>
        </w:rPr>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com sede a </w:t>
      </w:r>
      <w:r>
        <w:rPr>
          <w:rFonts w:eastAsia="Times New Roman" w:cs="Times New Roman"/>
          <w:color w:val="000000"/>
          <w:sz w:val="24"/>
          <w:szCs w:val="24"/>
          <w:lang w:val="pt-BR" w:bidi="ar-SA"/>
        </w:rPr>
        <w:t>Avenida Weimar Gonçalves Torres, 862 - Centro</w:t>
      </w:r>
      <w:r>
        <w:rPr>
          <w:sz w:val="24"/>
          <w:szCs w:val="24"/>
        </w:rPr>
        <w:t>, inscrita no CGC/MF sob o n.º 03.155.934/0001-90</w:t>
      </w:r>
      <w:r>
        <w:rPr>
          <w:sz w:val="24"/>
          <w:szCs w:val="24"/>
          <w:lang w:eastAsia="pt-BR"/>
        </w:rPr>
        <w:t xml:space="preserve">, </w:t>
      </w:r>
      <w:r>
        <w:rPr>
          <w:iCs/>
          <w:sz w:val="24"/>
          <w:szCs w:val="24"/>
          <w:lang w:eastAsia="pt-BR"/>
        </w:rPr>
        <w:t xml:space="preserve">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 </w:t>
      </w:r>
      <w:r>
        <w:rPr>
          <w:sz w:val="24"/>
          <w:szCs w:val="24"/>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bCs/>
          <w:iCs/>
          <w:sz w:val="24"/>
          <w:szCs w:val="24"/>
          <w:u w:val="single"/>
        </w:rPr>
        <w:t>Karin Taise Matsuoca</w:t>
      </w:r>
      <w:r>
        <w:rPr>
          <w:iCs/>
          <w:sz w:val="24"/>
          <w:szCs w:val="24"/>
        </w:rPr>
        <w:t>, Gerente de Saúde e Ordenadora de Despesas conforme Decreto nº. 081/2022, brasileira, portadora do CPF/MF nº. 017.341.949-60 e Cédula de Identidade RG nº. 59.286.935 SSP/PR, residente e domiciliado nesta cidade à Avenida Dourados, s/nº.;</w:t>
      </w:r>
      <w:r>
        <w:rPr>
          <w:rFonts w:eastAsia="Calibri"/>
          <w:iCs/>
          <w:sz w:val="24"/>
          <w:szCs w:val="24"/>
        </w:rPr>
        <w:t xml:space="preserve"> </w:t>
      </w:r>
      <w:r>
        <w:rPr>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88</w:t>
      </w:r>
      <w:r>
        <w:rPr>
          <w:b/>
          <w:sz w:val="24"/>
          <w:szCs w:val="24"/>
          <w:lang w:eastAsia="pt-BR"/>
        </w:rPr>
        <w:t>/2022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numPr>
          <w:ilvl w:val="1"/>
          <w:numId w:val="5"/>
        </w:numPr>
        <w:jc w:val="both"/>
        <w:rPr>
          <w:sz w:val="24"/>
          <w:szCs w:val="24"/>
          <w:lang w:eastAsia="pt-BR"/>
        </w:rPr>
      </w:pPr>
      <w:r>
        <w:rPr>
          <w:sz w:val="24"/>
          <w:szCs w:val="24"/>
          <w:lang w:eastAsia="pt-BR"/>
        </w:rPr>
        <w:t xml:space="preserve"> A presente Ata tem por objeto o </w:t>
      </w:r>
      <w:r>
        <w:rPr>
          <w:b/>
          <w:sz w:val="24"/>
          <w:szCs w:val="24"/>
          <w:lang w:eastAsia="pt-BR"/>
        </w:rPr>
        <w:t>REGISTRO DE PREÇO OBJETIVANDO AQUISIÇÃO FUTURA DE GÊNERO ALIMENTÍCIO (HORTIFRUTI), CONFORME TERMO DE REFERÊNCIA, EM ATENDIMENTO AS GERÊNCIAS MUNICIPAIS DE NAVIRAÍ/MS. PEDIDO DE COMPRA Nº 37/2022.</w:t>
      </w:r>
      <w:r>
        <w:rPr>
          <w:sz w:val="24"/>
          <w:szCs w:val="24"/>
          <w:lang w:eastAsia="pt-BR"/>
        </w:rPr>
        <w:t>, conforme as especificações da proposta de preços apresentada no Pregão Presencial n° 88</w:t>
      </w:r>
      <w:r>
        <w:rPr>
          <w:b/>
          <w:sz w:val="24"/>
          <w:szCs w:val="24"/>
          <w:lang w:eastAsia="pt-BR"/>
        </w:rPr>
        <w:t>/2022</w:t>
      </w:r>
      <w:r>
        <w:rPr>
          <w:sz w:val="24"/>
          <w:szCs w:val="24"/>
          <w:lang w:eastAsia="pt-BR"/>
        </w:rPr>
        <w:t>, Processo n° 206</w:t>
      </w:r>
      <w:r>
        <w:rPr>
          <w:b/>
          <w:sz w:val="24"/>
          <w:szCs w:val="24"/>
          <w:lang w:eastAsia="pt-BR"/>
        </w:rPr>
        <w:t>/2022</w:t>
      </w:r>
      <w:r>
        <w:rPr>
          <w:sz w:val="24"/>
          <w:szCs w:val="24"/>
          <w:lang w:eastAsia="pt-BR"/>
        </w:rPr>
        <w:t>, os quais, independentemente de transcrição, fazem parte deste instrumento, naquilo que não o contrarie.</w:t>
      </w:r>
    </w:p>
    <w:p>
      <w:pPr>
        <w:widowControl/>
        <w:numPr>
          <w:ilvl w:val="0"/>
          <w:numId w:val="0"/>
        </w:numPr>
        <w:suppressAutoHyphens/>
        <w:overflowPunct/>
        <w:bidi w:val="0"/>
        <w:ind w:left="0" w:firstLine="0"/>
        <w:jc w:val="both"/>
        <w:textAlignment w:val="baseline"/>
        <w:rPr>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b/>
          <w:bCs/>
          <w:sz w:val="24"/>
          <w:szCs w:val="24"/>
          <w:lang w:eastAsia="pt-BR"/>
        </w:rPr>
      </w:pPr>
      <w:r>
        <w:rPr>
          <w:b/>
          <w:bCs/>
          <w:sz w:val="24"/>
          <w:szCs w:val="24"/>
          <w:lang w:eastAsia="pt-BR"/>
        </w:rPr>
        <w:t>2.1  DAS OBRIGAÇÕES DO ÓRGÃO GERENCIADOR:</w:t>
      </w:r>
    </w:p>
    <w:p>
      <w:pPr>
        <w:jc w:val="both"/>
        <w:rPr>
          <w:sz w:val="24"/>
          <w:szCs w:val="24"/>
          <w:lang w:eastAsia="pt-BR"/>
        </w:rPr>
      </w:pPr>
    </w:p>
    <w:p>
      <w:pPr>
        <w:jc w:val="both"/>
        <w:rPr>
          <w:sz w:val="24"/>
          <w:szCs w:val="24"/>
          <w:lang w:eastAsia="pt-BR"/>
        </w:rPr>
      </w:pPr>
      <w:r>
        <w:rPr>
          <w:b/>
          <w:bCs/>
          <w:sz w:val="24"/>
          <w:szCs w:val="24"/>
          <w:lang w:eastAsia="pt-BR"/>
        </w:rPr>
        <w:t>2.1.1</w:t>
      </w:r>
      <w:r>
        <w:rPr>
          <w:sz w:val="24"/>
          <w:szCs w:val="24"/>
          <w:lang w:eastAsia="pt-BR"/>
        </w:rPr>
        <w:t xml:space="preserve">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b/>
          <w:bCs/>
          <w:sz w:val="24"/>
          <w:szCs w:val="24"/>
          <w:lang w:eastAsia="pt-BR"/>
        </w:rPr>
        <w:t>2.1.2</w:t>
      </w:r>
      <w:r>
        <w:rPr>
          <w:sz w:val="24"/>
          <w:szCs w:val="24"/>
          <w:lang w:eastAsia="pt-BR"/>
        </w:rPr>
        <w:t xml:space="preserve">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b/>
          <w:bCs/>
          <w:sz w:val="24"/>
          <w:szCs w:val="24"/>
          <w:lang w:eastAsia="pt-BR"/>
        </w:rPr>
        <w:t>2.1.3</w:t>
      </w:r>
      <w:r>
        <w:rPr>
          <w:sz w:val="24"/>
          <w:szCs w:val="24"/>
          <w:lang w:eastAsia="pt-BR"/>
        </w:rPr>
        <w:t xml:space="preserve"> Notificar o fornecedor de qualquer irregularidade encontrada no fornecimento do material;</w:t>
      </w:r>
    </w:p>
    <w:p>
      <w:pPr>
        <w:jc w:val="both"/>
        <w:rPr>
          <w:sz w:val="24"/>
          <w:szCs w:val="24"/>
          <w:lang w:eastAsia="pt-BR"/>
        </w:rPr>
      </w:pPr>
    </w:p>
    <w:p>
      <w:pPr>
        <w:jc w:val="both"/>
        <w:rPr>
          <w:sz w:val="24"/>
          <w:szCs w:val="24"/>
          <w:lang w:eastAsia="pt-BR"/>
        </w:rPr>
      </w:pPr>
      <w:r>
        <w:rPr>
          <w:b/>
          <w:bCs/>
          <w:sz w:val="24"/>
          <w:szCs w:val="24"/>
          <w:lang w:eastAsia="pt-BR"/>
        </w:rPr>
        <w:t>2.1.4</w:t>
      </w:r>
      <w:r>
        <w:rPr>
          <w:sz w:val="24"/>
          <w:szCs w:val="24"/>
          <w:lang w:eastAsia="pt-BR"/>
        </w:rPr>
        <w:t xml:space="preserve"> Efetuar os pagamentos devidos observados as condições estabelecidas nesta Ata;</w:t>
      </w:r>
    </w:p>
    <w:p>
      <w:pPr>
        <w:jc w:val="both"/>
        <w:rPr>
          <w:sz w:val="24"/>
          <w:szCs w:val="24"/>
          <w:lang w:eastAsia="pt-BR"/>
        </w:rPr>
      </w:pPr>
    </w:p>
    <w:p>
      <w:pPr>
        <w:jc w:val="both"/>
        <w:rPr>
          <w:sz w:val="24"/>
          <w:szCs w:val="24"/>
          <w:lang w:eastAsia="pt-BR"/>
        </w:rPr>
      </w:pPr>
      <w:r>
        <w:rPr>
          <w:b/>
          <w:bCs/>
          <w:sz w:val="24"/>
          <w:szCs w:val="24"/>
          <w:lang w:eastAsia="pt-BR"/>
        </w:rPr>
        <w:t>2.1.5</w:t>
      </w:r>
      <w:r>
        <w:rPr>
          <w:sz w:val="24"/>
          <w:szCs w:val="24"/>
          <w:lang w:eastAsia="pt-BR"/>
        </w:rPr>
        <w:t xml:space="preserve"> Promover ampla pesquisa de mercado, de forma a comprovar que os preços registrados permanecem compatíveis com os praticados no mercado.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rPr>
          <w:rFonts w:ascii="Times New Roman" w:hAnsi="Times New Roman" w:cs="Times New Roman"/>
          <w:b/>
          <w:bCs/>
          <w:i w:val="0"/>
          <w:szCs w:val="24"/>
        </w:rPr>
      </w:pPr>
      <w:r>
        <w:rPr>
          <w:b/>
          <w:bCs/>
          <w:sz w:val="24"/>
          <w:szCs w:val="24"/>
          <w:lang w:eastAsia="pt-BR"/>
        </w:rPr>
        <w:t>2.1.6</w:t>
      </w:r>
      <w:r>
        <w:rPr>
          <w:sz w:val="24"/>
          <w:szCs w:val="24"/>
          <w:lang w:eastAsia="pt-BR"/>
        </w:rPr>
        <w:t xml:space="preserve">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2.2 – DAS OBRIGAÇÕES DO FORNECEDOR:</w:t>
      </w:r>
    </w:p>
    <w:p>
      <w:pPr>
        <w:jc w:val="both"/>
        <w:rPr>
          <w:sz w:val="24"/>
          <w:szCs w:val="24"/>
          <w:lang w:eastAsia="pt-BR"/>
        </w:rPr>
      </w:pPr>
    </w:p>
    <w:p>
      <w:pPr>
        <w:jc w:val="both"/>
        <w:rPr>
          <w:rFonts w:ascii="Times New Roman" w:hAnsi="Times New Roman" w:cs="Times New Roman"/>
          <w:b/>
          <w:bCs/>
          <w:i w:val="0"/>
          <w:szCs w:val="24"/>
        </w:rPr>
      </w:pPr>
      <w:r>
        <w:rPr>
          <w:b/>
          <w:bCs/>
          <w:sz w:val="24"/>
          <w:szCs w:val="24"/>
          <w:lang w:eastAsia="pt-BR"/>
        </w:rPr>
        <w:t>2.2.1</w:t>
      </w:r>
      <w:r>
        <w:rPr>
          <w:sz w:val="24"/>
          <w:szCs w:val="24"/>
          <w:lang w:eastAsia="pt-BR"/>
        </w:rPr>
        <w:t xml:space="preserve">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b/>
          <w:bCs/>
          <w:sz w:val="24"/>
          <w:szCs w:val="24"/>
          <w:lang w:eastAsia="pt-BR"/>
        </w:rPr>
        <w:t>2.2.2</w:t>
      </w:r>
      <w:r>
        <w:rPr>
          <w:sz w:val="24"/>
          <w:szCs w:val="24"/>
          <w:lang w:eastAsia="pt-BR"/>
        </w:rPr>
        <w:t xml:space="preserve"> Fornecer o material conforme especificação marca e preço registrados;</w:t>
      </w:r>
    </w:p>
    <w:p>
      <w:pPr>
        <w:jc w:val="both"/>
        <w:rPr>
          <w:sz w:val="24"/>
          <w:szCs w:val="24"/>
          <w:lang w:eastAsia="pt-BR"/>
        </w:rPr>
      </w:pPr>
    </w:p>
    <w:p>
      <w:pPr>
        <w:jc w:val="both"/>
        <w:rPr>
          <w:rFonts w:ascii="Times New Roman" w:hAnsi="Times New Roman" w:cs="Times New Roman"/>
          <w:b/>
          <w:bCs/>
          <w:i w:val="0"/>
          <w:szCs w:val="24"/>
        </w:rPr>
      </w:pPr>
      <w:r>
        <w:rPr>
          <w:b/>
          <w:bCs/>
          <w:sz w:val="24"/>
          <w:szCs w:val="24"/>
          <w:lang w:eastAsia="pt-BR"/>
        </w:rPr>
        <w:t>2.2.3</w:t>
      </w:r>
      <w:r>
        <w:rPr>
          <w:sz w:val="24"/>
          <w:szCs w:val="24"/>
          <w:lang w:eastAsia="pt-BR"/>
        </w:rPr>
        <w:t xml:space="preserve"> Entregar o material solicitado no respectivo endereço do órgão participante da presente Ata de Registro de Preços, no prazo máximo de </w:t>
      </w:r>
      <w:r>
        <w:rPr>
          <w:b/>
          <w:bCs/>
          <w:sz w:val="24"/>
          <w:szCs w:val="24"/>
          <w:lang w:val="en-US" w:eastAsia="pt-BR"/>
        </w:rPr>
        <w:t>05 (cinco) dias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b/>
          <w:bCs/>
          <w:sz w:val="24"/>
          <w:szCs w:val="24"/>
          <w:lang w:eastAsia="pt-BR"/>
        </w:rPr>
        <w:t>2.2.4</w:t>
      </w:r>
      <w:r>
        <w:rPr>
          <w:sz w:val="24"/>
          <w:szCs w:val="24"/>
          <w:lang w:eastAsia="pt-BR"/>
        </w:rPr>
        <w:t xml:space="preserve">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3.1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4.1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5.1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5.2</w:t>
      </w:r>
      <w:r>
        <w:rPr>
          <w:sz w:val="24"/>
          <w:szCs w:val="24"/>
          <w:lang w:eastAsia="pt-BR"/>
        </w:rPr>
        <w:t xml:space="preserve">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5.3</w:t>
      </w:r>
      <w:r>
        <w:rPr>
          <w:sz w:val="24"/>
          <w:szCs w:val="24"/>
          <w:lang w:eastAsia="pt-BR"/>
        </w:rPr>
        <w:t xml:space="preserve">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rPr>
          <w:b/>
          <w:bCs/>
          <w:sz w:val="24"/>
          <w:szCs w:val="24"/>
          <w:lang w:eastAsia="pt-BR"/>
        </w:rPr>
      </w:pPr>
      <w:r>
        <w:rPr>
          <w:b/>
          <w:bCs/>
          <w:sz w:val="24"/>
          <w:szCs w:val="24"/>
          <w:lang w:eastAsia="pt-BR"/>
        </w:rPr>
        <w:t>5.4</w:t>
      </w:r>
      <w:r>
        <w:rPr>
          <w:sz w:val="24"/>
          <w:szCs w:val="24"/>
          <w:lang w:eastAsia="pt-BR"/>
        </w:rPr>
        <w:t xml:space="preserve">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rFonts w:ascii="Times New Roman" w:hAnsi="Times New Roman" w:cs="Times New Roman"/>
          <w:b/>
          <w:bCs/>
          <w:i w:val="0"/>
          <w:szCs w:val="24"/>
        </w:rPr>
      </w:pPr>
      <w:r>
        <w:rPr>
          <w:b/>
          <w:bCs/>
          <w:sz w:val="24"/>
          <w:szCs w:val="24"/>
          <w:lang w:eastAsia="pt-BR"/>
        </w:rPr>
        <w:t>5.5</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rPr>
          <w:rFonts w:ascii="Times New Roman" w:hAnsi="Times New Roman" w:cs="Times New Roman"/>
          <w:b/>
          <w:bCs/>
          <w:i w:val="0"/>
          <w:szCs w:val="24"/>
        </w:rPr>
      </w:pPr>
      <w:r>
        <w:rPr>
          <w:b/>
          <w:bCs/>
          <w:sz w:val="24"/>
          <w:szCs w:val="24"/>
          <w:lang w:eastAsia="pt-BR"/>
        </w:rPr>
        <w:t xml:space="preserve">5.6 </w:t>
      </w:r>
      <w:r>
        <w:rPr>
          <w:sz w:val="24"/>
          <w:szCs w:val="24"/>
          <w:lang w:eastAsia="pt-BR"/>
        </w:rPr>
        <w:t>Será considerado preço de mercado, o que for igual ou inferior à média daquele apurado pela Administração Municipal para determinado item.</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5.7</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6.1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rPr>
          <w:rFonts w:ascii="Times New Roman" w:hAnsi="Times New Roman" w:cs="Times New Roman"/>
          <w:b/>
          <w:bCs/>
          <w:i w:val="0"/>
          <w:szCs w:val="24"/>
        </w:rPr>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rPr>
          <w:rFonts w:ascii="Times New Roman" w:hAnsi="Times New Roman" w:cs="Times New Roman"/>
          <w:b/>
          <w:bCs/>
          <w:i w:val="0"/>
          <w:szCs w:val="24"/>
        </w:rPr>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6.2</w:t>
      </w:r>
      <w:r>
        <w:rPr>
          <w:b/>
          <w:bCs/>
          <w:sz w:val="24"/>
          <w:szCs w:val="24"/>
          <w:lang w:val="en-US" w:eastAsia="pt-BR"/>
        </w:rPr>
        <w:t xml:space="preserve">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rPr>
          <w:rFonts w:ascii="Times New Roman" w:hAnsi="Times New Roman" w:cs="Times New Roman"/>
          <w:b/>
          <w:bCs/>
          <w:i w:val="0"/>
          <w:szCs w:val="24"/>
        </w:rPr>
      </w:pPr>
      <w:r>
        <w:rPr>
          <w:b/>
          <w:bCs/>
          <w:sz w:val="24"/>
          <w:szCs w:val="24"/>
          <w:lang w:eastAsia="pt-BR"/>
        </w:rPr>
        <w:t xml:space="preserve">6.3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rPr>
          <w:rFonts w:ascii="Times New Roman" w:hAnsi="Times New Roman" w:cs="Times New Roman"/>
          <w:b/>
          <w:bCs/>
          <w:i w:val="0"/>
          <w:szCs w:val="24"/>
        </w:rPr>
      </w:pPr>
      <w:r>
        <w:rPr>
          <w:b/>
          <w:bCs/>
          <w:sz w:val="24"/>
          <w:szCs w:val="24"/>
          <w:lang w:eastAsia="pt-BR"/>
        </w:rPr>
        <w:t xml:space="preserve">6.4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6.5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6.6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rPr>
          <w:rFonts w:ascii="Times New Roman" w:hAnsi="Times New Roman" w:cs="Times New Roman"/>
          <w:b/>
          <w:bCs/>
          <w:i w:val="0"/>
          <w:szCs w:val="24"/>
        </w:rPr>
      </w:pPr>
      <w:r>
        <w:rPr>
          <w:b/>
          <w:bCs/>
          <w:sz w:val="24"/>
          <w:szCs w:val="24"/>
        </w:rPr>
        <w:t>7.1</w:t>
      </w:r>
      <w:r>
        <w:rPr>
          <w:sz w:val="24"/>
          <w:szCs w:val="24"/>
        </w:rPr>
        <w:t xml:space="preserve">  Os itens licitados serão solicitados conforme a necessidade da Gerência, e deverão ser entregues no </w:t>
      </w:r>
      <w:r>
        <w:rPr>
          <w:sz w:val="24"/>
          <w:szCs w:val="24"/>
          <w:lang w:val="pt-BR"/>
        </w:rPr>
        <w:t xml:space="preserve">local </w:t>
      </w:r>
      <w:r>
        <w:rPr>
          <w:sz w:val="24"/>
          <w:szCs w:val="24"/>
        </w:rPr>
        <w:t xml:space="preserve">indicado na Ordem de Fornecimento, pelo prazo máximo de </w:t>
      </w:r>
      <w:r>
        <w:rPr>
          <w:b/>
          <w:bCs/>
          <w:sz w:val="24"/>
          <w:szCs w:val="24"/>
          <w:lang w:val="pt-BR"/>
        </w:rPr>
        <w:t>05 (cinco) dias,</w:t>
      </w:r>
      <w:r>
        <w:rPr>
          <w:sz w:val="24"/>
          <w:szCs w:val="24"/>
        </w:rPr>
        <w:t xml:space="preserve"> a contar do recebimento da requisição devidamente assinada.</w:t>
      </w:r>
    </w:p>
    <w:p>
      <w:pPr>
        <w:jc w:val="both"/>
        <w:rPr>
          <w:sz w:val="24"/>
          <w:szCs w:val="24"/>
        </w:rPr>
      </w:pPr>
    </w:p>
    <w:p>
      <w:pPr>
        <w:jc w:val="both"/>
        <w:rPr>
          <w:rFonts w:ascii="Times New Roman" w:hAnsi="Times New Roman" w:cs="Times New Roman"/>
          <w:b/>
          <w:bCs/>
          <w:i w:val="0"/>
          <w:szCs w:val="24"/>
        </w:rPr>
      </w:pPr>
      <w:r>
        <w:rPr>
          <w:b/>
          <w:bCs/>
          <w:sz w:val="24"/>
          <w:szCs w:val="24"/>
        </w:rPr>
        <w:t>7.2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rPr>
          <w:rFonts w:ascii="Times New Roman" w:hAnsi="Times New Roman" w:cs="Times New Roman"/>
          <w:b/>
          <w:bCs/>
          <w:i w:val="0"/>
          <w:szCs w:val="24"/>
        </w:rPr>
      </w:pPr>
      <w:r>
        <w:rPr>
          <w:b/>
          <w:bCs/>
          <w:sz w:val="24"/>
          <w:szCs w:val="24"/>
        </w:rPr>
        <w:t>7.3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rPr>
          <w:rFonts w:ascii="Times New Roman" w:hAnsi="Times New Roman" w:cs="Times New Roman"/>
          <w:b/>
          <w:bCs/>
          <w:i w:val="0"/>
          <w:szCs w:val="24"/>
        </w:rPr>
      </w:pPr>
      <w:r>
        <w:rPr>
          <w:b/>
          <w:bCs/>
          <w:sz w:val="24"/>
          <w:szCs w:val="24"/>
        </w:rPr>
        <w:t>7.4</w:t>
      </w:r>
      <w:r>
        <w:rPr>
          <w:sz w:val="24"/>
          <w:szCs w:val="24"/>
        </w:rPr>
        <w:t xml:space="preserve">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rPr>
          <w:rFonts w:ascii="Times New Roman" w:hAnsi="Times New Roman" w:cs="Times New Roman"/>
          <w:b/>
          <w:bCs/>
          <w:i w:val="0"/>
          <w:szCs w:val="24"/>
        </w:rPr>
      </w:pPr>
      <w:r>
        <w:rPr>
          <w:b/>
          <w:iCs/>
          <w:sz w:val="24"/>
          <w:szCs w:val="24"/>
        </w:rPr>
        <w:t>8.1</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rPr>
          <w:rFonts w:ascii="Times New Roman" w:hAnsi="Times New Roman" w:cs="Times New Roman"/>
          <w:b/>
          <w:bCs/>
          <w:i w:val="0"/>
          <w:szCs w:val="24"/>
        </w:rPr>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rPr>
          <w:rFonts w:ascii="Times New Roman" w:hAnsi="Times New Roman" w:cs="Times New Roman"/>
          <w:b/>
          <w:bCs/>
          <w:i w:val="0"/>
          <w:szCs w:val="24"/>
        </w:rPr>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right="-96" w:firstLine="0"/>
        <w:jc w:val="both"/>
        <w:rPr>
          <w:sz w:val="24"/>
          <w:szCs w:val="24"/>
        </w:rPr>
      </w:pPr>
    </w:p>
    <w:p>
      <w:pPr>
        <w:ind w:left="567" w:right="-96" w:hanging="567"/>
        <w:jc w:val="both"/>
        <w:rPr>
          <w:rFonts w:ascii="Times New Roman" w:hAnsi="Times New Roman" w:cs="Times New Roman"/>
          <w:b/>
          <w:bCs/>
          <w:i w:val="0"/>
          <w:szCs w:val="24"/>
        </w:rPr>
      </w:pPr>
      <w:r>
        <w:rPr>
          <w:b/>
          <w:iCs/>
          <w:sz w:val="24"/>
          <w:szCs w:val="24"/>
        </w:rPr>
        <w:t>8.1</w:t>
      </w:r>
      <w:r>
        <w:rPr>
          <w:b/>
          <w:bCs/>
          <w:sz w:val="24"/>
          <w:szCs w:val="24"/>
        </w:rPr>
        <w:t>.</w:t>
      </w:r>
      <w:r>
        <w:rPr>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rPr>
          <w:rFonts w:ascii="Times New Roman" w:hAnsi="Times New Roman" w:cs="Times New Roman"/>
          <w:b/>
          <w:bCs/>
          <w:i w:val="0"/>
          <w:szCs w:val="24"/>
        </w:rPr>
      </w:pPr>
      <w:r>
        <w:rPr>
          <w:b/>
          <w:iCs/>
          <w:sz w:val="24"/>
          <w:szCs w:val="24"/>
        </w:rPr>
        <w:t>8.1</w:t>
      </w:r>
      <w:r>
        <w:rPr>
          <w:b/>
          <w:bCs/>
          <w:sz w:val="24"/>
          <w:szCs w:val="24"/>
        </w:rPr>
        <w:t>.</w:t>
      </w:r>
      <w:r>
        <w:rPr>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rPr>
          <w:rFonts w:ascii="Times New Roman" w:hAnsi="Times New Roman" w:cs="Times New Roman"/>
          <w:b/>
          <w:bCs/>
          <w:i w:val="0"/>
          <w:szCs w:val="24"/>
        </w:rPr>
      </w:pPr>
      <w:r>
        <w:rPr>
          <w:b/>
          <w:bCs/>
          <w:sz w:val="24"/>
          <w:szCs w:val="24"/>
        </w:rPr>
        <w:t>10.1</w:t>
      </w:r>
      <w:r>
        <w:rPr>
          <w:b/>
          <w:bCs/>
          <w:sz w:val="24"/>
          <w:szCs w:val="24"/>
          <w:lang w:val="pt-BR"/>
        </w:rPr>
        <w:t xml:space="preserve"> </w:t>
      </w:r>
      <w:r>
        <w:rPr>
          <w:sz w:val="24"/>
          <w:szCs w:val="24"/>
        </w:rPr>
        <w:t xml:space="preserve">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rPr>
          <w:rFonts w:ascii="Times New Roman" w:hAnsi="Times New Roman" w:cs="Times New Roman"/>
          <w:b/>
          <w:bCs/>
          <w:i w:val="0"/>
          <w:szCs w:val="24"/>
        </w:rPr>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rPr>
          <w:rFonts w:ascii="Times New Roman" w:hAnsi="Times New Roman" w:cs="Times New Roman"/>
          <w:b/>
          <w:bCs/>
          <w:i w:val="0"/>
          <w:szCs w:val="24"/>
        </w:rPr>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rPr>
          <w:rFonts w:ascii="Times New Roman" w:hAnsi="Times New Roman" w:cs="Times New Roman"/>
          <w:b/>
          <w:bCs/>
          <w:i w:val="0"/>
          <w:szCs w:val="24"/>
        </w:rPr>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rPr>
          <w:rFonts w:ascii="Times New Roman" w:hAnsi="Times New Roman" w:cs="Times New Roman"/>
          <w:b/>
          <w:bCs/>
          <w:i w:val="0"/>
          <w:szCs w:val="24"/>
        </w:rPr>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rPr>
          <w:rFonts w:ascii="Times New Roman" w:hAnsi="Times New Roman" w:cs="Times New Roman"/>
          <w:b/>
          <w:bCs/>
          <w:i w:val="0"/>
          <w:szCs w:val="24"/>
        </w:rPr>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rPr>
          <w:rFonts w:ascii="Times New Roman" w:hAnsi="Times New Roman" w:cs="Times New Roman"/>
          <w:b/>
          <w:bCs/>
          <w:i w:val="0"/>
          <w:szCs w:val="24"/>
        </w:rPr>
      </w:pPr>
      <w:r>
        <w:rPr>
          <w:b/>
          <w:bCs/>
          <w:sz w:val="24"/>
          <w:szCs w:val="24"/>
        </w:rPr>
        <w:t>10.5</w:t>
      </w:r>
      <w:r>
        <w:rPr>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11.1</w:t>
      </w:r>
      <w:r>
        <w:rPr>
          <w:sz w:val="24"/>
          <w:szCs w:val="24"/>
          <w:lang w:eastAsia="pt-BR"/>
        </w:rPr>
        <w:t xml:space="preserve">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11.3</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rPr>
          <w:rFonts w:ascii="Times New Roman" w:hAnsi="Times New Roman" w:cs="Times New Roman"/>
          <w:b/>
          <w:bCs/>
          <w:i w:val="0"/>
          <w:szCs w:val="24"/>
        </w:rPr>
      </w:pPr>
      <w:r>
        <w:rPr>
          <w:b/>
          <w:bCs/>
          <w:sz w:val="24"/>
          <w:szCs w:val="24"/>
        </w:rPr>
        <w:t xml:space="preserve">12.1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13.1</w:t>
      </w:r>
      <w:r>
        <w:rPr>
          <w:sz w:val="24"/>
          <w:szCs w:val="24"/>
          <w:lang w:eastAsia="pt-BR"/>
        </w:rPr>
        <w:t xml:space="preserve">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rPr>
          <w:rFonts w:ascii="Times New Roman" w:hAnsi="Times New Roman" w:cs="Times New Roman"/>
          <w:b/>
          <w:bCs/>
          <w:i w:val="0"/>
          <w:szCs w:val="24"/>
        </w:rPr>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7"/>
        </w:rPr>
        <w:t>www.navirai.ms.gov.br/licitacoes</w:t>
      </w:r>
      <w:r>
        <w:rPr>
          <w:rStyle w:val="207"/>
        </w:rPr>
        <w:fldChar w:fldCharType="end"/>
      </w:r>
      <w:r>
        <w:t xml:space="preserve"> </w:t>
      </w:r>
    </w:p>
    <w:p>
      <w:pPr>
        <w:pStyle w:val="14"/>
        <w:rPr>
          <w:rFonts w:ascii="Times New Roman" w:hAnsi="Times New Roman" w:cs="Times New Roman"/>
          <w:b/>
          <w:bCs/>
          <w:i w:val="0"/>
          <w:szCs w:val="24"/>
        </w:rPr>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rPr>
          <w:rFonts w:ascii="Times New Roman" w:hAnsi="Times New Roman" w:cs="Times New Roman"/>
          <w:b/>
          <w:bCs/>
          <w:i w:val="0"/>
          <w:szCs w:val="24"/>
        </w:rPr>
      </w:pPr>
      <w:r>
        <w:rPr>
          <w:b/>
          <w:bCs/>
          <w:sz w:val="24"/>
          <w:szCs w:val="24"/>
          <w:lang w:eastAsia="pt-BR"/>
        </w:rPr>
        <w:t>15.1</w:t>
      </w:r>
      <w:r>
        <w:rPr>
          <w:b/>
          <w:bCs/>
          <w:sz w:val="24"/>
          <w:szCs w:val="24"/>
          <w:lang w:val="en-US" w:eastAsia="pt-BR"/>
        </w:rPr>
        <w:t xml:space="preserve"> </w:t>
      </w:r>
      <w:r>
        <w:rPr>
          <w:sz w:val="24"/>
          <w:szCs w:val="24"/>
        </w:rPr>
        <w:t>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rPr>
          <w:rFonts w:ascii="Times New Roman" w:hAnsi="Times New Roman" w:cs="Times New Roman"/>
          <w:b/>
          <w:bCs/>
          <w:i w:val="0"/>
          <w:szCs w:val="24"/>
        </w:rPr>
      </w:pPr>
      <w:r>
        <w:rPr>
          <w:sz w:val="24"/>
          <w:szCs w:val="24"/>
          <w:lang w:eastAsia="pt-BR"/>
        </w:rPr>
        <w:t xml:space="preserve">Pelo </w:t>
      </w:r>
      <w:r>
        <w:rPr>
          <w:b/>
          <w:bCs/>
          <w:sz w:val="24"/>
          <w:szCs w:val="24"/>
          <w:lang w:eastAsia="pt-BR"/>
        </w:rPr>
        <w:t>ÓRGÃO GERENCIADOR</w:t>
      </w:r>
    </w:p>
    <w:p>
      <w:pPr>
        <w:jc w:val="right"/>
        <w:rPr>
          <w:rFonts w:ascii="Times New Roman" w:hAnsi="Times New Roman" w:cs="Times New Roman"/>
          <w:b/>
          <w:bCs/>
          <w:i w:val="0"/>
          <w:szCs w:val="24"/>
        </w:rPr>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tbl>
      <w:tblPr>
        <w:tblStyle w:val="12"/>
        <w:tblW w:w="9474"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Pr>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TATIANE MARIA DA SILVA MORCH</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Ger. de Educação e Cultura e Ordenadora de Despesas</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Conforme Decreto nº 006/2021</w:t>
            </w:r>
          </w:p>
          <w:p>
            <w:pPr>
              <w:widowControl w:val="0"/>
              <w:tabs>
                <w:tab w:val="left" w:pos="5562"/>
              </w:tabs>
              <w:spacing w:before="0" w:after="0"/>
              <w:ind w:left="0" w:right="33" w:firstLine="0"/>
              <w:jc w:val="center"/>
              <w:rPr>
                <w:rFonts w:eastAsia="MS Mincho;ＭＳ 明朝"/>
                <w:b/>
                <w:iCs/>
                <w:sz w:val="22"/>
                <w:szCs w:val="22"/>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r>
        <w:tblPrEx>
          <w:tblCellMar>
            <w:top w:w="0" w:type="dxa"/>
            <w:left w:w="108" w:type="dxa"/>
            <w:bottom w:w="0" w:type="dxa"/>
            <w:right w:w="108" w:type="dxa"/>
          </w:tblCellMar>
        </w:tblPrEx>
        <w:tc>
          <w:tcPr>
            <w:tcW w:w="5778" w:type="dxa"/>
          </w:tcPr>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KARIN TAISE MATSUOCA</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Gerente de Saúde e Ordenadora de Despesas</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Conforme Decreto nº. 081/2022</w:t>
            </w: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r>
        <w:tblPrEx>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p>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r>
              <w:rPr>
                <w:rFonts w:eastAsia="MS Mincho;ＭＳ 明朝"/>
                <w:b/>
                <w:iCs/>
                <w:kern w:val="0"/>
                <w:sz w:val="22"/>
                <w:szCs w:val="22"/>
              </w:rPr>
              <w:t>LUIZ ALBERTO ÁVILA SILVA JUNIOR</w:t>
            </w:r>
          </w:p>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r>
              <w:rPr>
                <w:rFonts w:eastAsia="MS Mincho;ＭＳ 明朝"/>
                <w:b/>
                <w:iCs/>
                <w:kern w:val="0"/>
                <w:sz w:val="22"/>
                <w:szCs w:val="22"/>
              </w:rPr>
              <w:t>Gerente de Meio Ambiente e Ordenador de Despesas</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Conforme Decreto nº 013/2021</w:t>
            </w:r>
          </w:p>
          <w:p>
            <w:pPr>
              <w:widowControl w:val="0"/>
              <w:tabs>
                <w:tab w:val="left" w:pos="5562"/>
              </w:tabs>
              <w:spacing w:before="0" w:after="0"/>
              <w:ind w:left="0" w:right="33" w:firstLine="0"/>
              <w:jc w:val="center"/>
              <w:rPr>
                <w:rFonts w:eastAsia="MS Mincho;ＭＳ 明朝"/>
                <w:b/>
                <w:iCs/>
                <w:sz w:val="22"/>
                <w:szCs w:val="22"/>
              </w:rPr>
            </w:pPr>
          </w:p>
        </w:tc>
        <w:tc>
          <w:tcPr>
            <w:tcW w:w="3695" w:type="dxa"/>
          </w:tcPr>
          <w:p>
            <w:pPr>
              <w:widowControl w:val="0"/>
              <w:spacing w:before="0" w:after="0"/>
              <w:jc w:val="center"/>
              <w:rPr>
                <w:rFonts w:eastAsia="MS Mincho;ＭＳ 明朝"/>
                <w:b/>
                <w:iCs/>
                <w:sz w:val="22"/>
              </w:rPr>
            </w:pPr>
          </w:p>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r>
        <w:tblPrEx>
          <w:tblCellMar>
            <w:top w:w="0" w:type="dxa"/>
            <w:left w:w="108" w:type="dxa"/>
            <w:bottom w:w="0" w:type="dxa"/>
            <w:right w:w="108" w:type="dxa"/>
          </w:tblCellMar>
        </w:tblPrEx>
        <w:tc>
          <w:tcPr>
            <w:tcW w:w="5778" w:type="dxa"/>
          </w:tcPr>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LUCINEIA PULQUÉRIO GARCIA FRANCISCATTI</w:t>
            </w:r>
          </w:p>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Ger. de Assist. Social e Ord. De Despesas</w:t>
            </w:r>
          </w:p>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Conforme Decreto nº. 012/2021</w:t>
            </w: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bl>
    <w:p>
      <w:pPr>
        <w:jc w:val="right"/>
        <w:rPr>
          <w:sz w:val="24"/>
          <w:szCs w:val="24"/>
          <w:lang w:eastAsia="pt-BR"/>
        </w:rPr>
      </w:pPr>
    </w:p>
    <w:p>
      <w:pPr>
        <w:jc w:val="both"/>
        <w:rPr>
          <w:sz w:val="24"/>
          <w:szCs w:val="24"/>
          <w:lang w:eastAsia="pt-BR"/>
        </w:rPr>
      </w:pPr>
    </w:p>
    <w:p>
      <w:pPr>
        <w:jc w:val="both"/>
        <w:rPr>
          <w:rFonts w:ascii="Times New Roman" w:hAnsi="Times New Roman" w:cs="Times New Roman"/>
          <w:b/>
          <w:bCs/>
          <w:i w:val="0"/>
          <w:szCs w:val="24"/>
        </w:rPr>
      </w:pPr>
      <w:r>
        <w:rPr>
          <w:sz w:val="24"/>
          <w:szCs w:val="24"/>
          <w:lang w:eastAsia="pt-BR"/>
        </w:rPr>
        <w:t xml:space="preserve">Pelo </w:t>
      </w:r>
      <w:r>
        <w:rPr>
          <w:b/>
          <w:bCs/>
          <w:sz w:val="24"/>
          <w:szCs w:val="24"/>
          <w:lang w:eastAsia="pt-BR"/>
        </w:rPr>
        <w:t xml:space="preserve">FORNECEDOR </w:t>
      </w:r>
    </w:p>
    <w:p>
      <w:pPr>
        <w:jc w:val="right"/>
        <w:rPr>
          <w:rFonts w:ascii="Times New Roman" w:hAnsi="Times New Roman" w:cs="Times New Roman"/>
          <w:b/>
          <w:bCs/>
          <w:i w:val="0"/>
          <w:szCs w:val="24"/>
        </w:rPr>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b/>
          <w:bCs/>
          <w:sz w:val="24"/>
          <w:szCs w:val="24"/>
          <w:lang w:eastAsia="pt-BR"/>
        </w:rPr>
      </w:pP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_____/2022.</w:t>
      </w:r>
    </w:p>
    <w:p>
      <w:pPr>
        <w:jc w:val="both"/>
        <w:rPr>
          <w:b/>
          <w:bCs/>
          <w:sz w:val="24"/>
          <w:szCs w:val="24"/>
          <w:lang w:eastAsia="pt-BR"/>
        </w:rPr>
      </w:pPr>
    </w:p>
    <w:p>
      <w:pPr>
        <w:jc w:val="both"/>
        <w:rPr>
          <w:rFonts w:ascii="Times New Roman" w:hAnsi="Times New Roman" w:cs="Times New Roman"/>
          <w:b/>
          <w:bCs/>
          <w:i w:val="0"/>
          <w:szCs w:val="24"/>
        </w:rPr>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b/>
          <w:bCs/>
          <w:sz w:val="24"/>
          <w:szCs w:val="24"/>
          <w:lang w:eastAsia="pt-BR"/>
        </w:rPr>
        <w:t>88</w:t>
      </w:r>
      <w:r>
        <w:rPr>
          <w:b/>
          <w:sz w:val="24"/>
          <w:szCs w:val="24"/>
          <w:lang w:eastAsia="pt-BR"/>
        </w:rPr>
        <w:t>/2022</w:t>
      </w:r>
      <w:r>
        <w:rPr>
          <w:sz w:val="24"/>
          <w:szCs w:val="24"/>
          <w:lang w:eastAsia="pt-BR"/>
        </w:rPr>
        <w:t xml:space="preserve"> – Processo nº. </w:t>
      </w:r>
      <w:r>
        <w:rPr>
          <w:b/>
          <w:bCs/>
          <w:sz w:val="24"/>
          <w:szCs w:val="24"/>
          <w:lang w:eastAsia="pt-BR"/>
        </w:rPr>
        <w:t>206</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rPr>
          <w:rFonts w:ascii="Times New Roman" w:hAnsi="Times New Roman" w:cs="Times New Roman"/>
          <w:b/>
          <w:bCs/>
          <w:i w:val="0"/>
          <w:szCs w:val="24"/>
        </w:rPr>
      </w:pPr>
      <w:r>
        <w:t>Endereço:</w:t>
      </w:r>
    </w:p>
    <w:tbl>
      <w:tblPr>
        <w:tblStyle w:val="12"/>
        <w:tblW w:w="9070" w:type="dxa"/>
        <w:tblInd w:w="-5" w:type="dxa"/>
        <w:tblLayout w:type="fixed"/>
        <w:tblCellMar>
          <w:top w:w="0" w:type="dxa"/>
          <w:left w:w="108" w:type="dxa"/>
          <w:bottom w:w="0" w:type="dxa"/>
          <w:right w:w="108" w:type="dxa"/>
        </w:tblCellMar>
      </w:tblPr>
      <w:tblGrid>
        <w:gridCol w:w="753"/>
        <w:gridCol w:w="828"/>
        <w:gridCol w:w="807"/>
        <w:gridCol w:w="3583"/>
        <w:gridCol w:w="1418"/>
        <w:gridCol w:w="1680"/>
      </w:tblGrid>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ITEM</w:t>
            </w:r>
          </w:p>
        </w:tc>
        <w:tc>
          <w:tcPr>
            <w:tcW w:w="828"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QTDE</w:t>
            </w:r>
          </w:p>
        </w:tc>
        <w:tc>
          <w:tcPr>
            <w:tcW w:w="807"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UNID</w:t>
            </w:r>
          </w:p>
        </w:tc>
        <w:tc>
          <w:tcPr>
            <w:tcW w:w="3583"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ESPECIFICAÇÃO</w:t>
            </w:r>
          </w:p>
        </w:tc>
        <w:tc>
          <w:tcPr>
            <w:tcW w:w="1418"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MARCA MODELO</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276" w:lineRule="auto"/>
              <w:jc w:val="center"/>
              <w:rPr>
                <w:bCs/>
                <w:lang w:eastAsia="pt-BR"/>
              </w:rPr>
            </w:pPr>
            <w:r>
              <w:rPr>
                <w:bCs/>
                <w:kern w:val="0"/>
                <w:lang w:eastAsia="pt-BR"/>
              </w:rPr>
              <w:t>VALOR REGISTRADO</w:t>
            </w: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1</w:t>
            </w:r>
          </w:p>
        </w:tc>
        <w:tc>
          <w:tcPr>
            <w:tcW w:w="828"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before="0" w:after="0"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2</w:t>
            </w:r>
          </w:p>
        </w:tc>
        <w:tc>
          <w:tcPr>
            <w:tcW w:w="828"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before="0" w:after="0"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before="0" w:after="0" w:line="276" w:lineRule="auto"/>
              <w:jc w:val="center"/>
              <w:rPr>
                <w:bCs/>
                <w:lang w:eastAsia="pt-BR"/>
              </w:rPr>
            </w:pPr>
            <w:r>
              <w:rPr>
                <w:bCs/>
                <w:kern w:val="0"/>
                <w:lang w:eastAsia="pt-BR"/>
              </w:rPr>
              <w:t>3</w:t>
            </w:r>
          </w:p>
        </w:tc>
        <w:tc>
          <w:tcPr>
            <w:tcW w:w="828"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before="0" w:after="0"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before="0" w:after="0" w:line="276" w:lineRule="auto"/>
              <w:jc w:val="center"/>
              <w:rPr>
                <w:bCs/>
                <w:lang w:eastAsia="pt-BR"/>
              </w:rPr>
            </w:pPr>
          </w:p>
        </w:tc>
      </w:tr>
    </w:tbl>
    <w:p>
      <w:pPr>
        <w:jc w:val="both"/>
        <w:rPr>
          <w:b/>
          <w:bCs/>
          <w:sz w:val="24"/>
          <w:szCs w:val="24"/>
          <w:lang w:eastAsia="pt-BR"/>
        </w:rPr>
      </w:pPr>
    </w:p>
    <w:p>
      <w:pPr>
        <w:jc w:val="both"/>
        <w:rPr>
          <w:rFonts w:ascii="Times New Roman" w:hAnsi="Times New Roman" w:cs="Times New Roman"/>
          <w:b/>
          <w:bCs/>
          <w:i w:val="0"/>
          <w:szCs w:val="24"/>
        </w:rPr>
      </w:pPr>
      <w:r>
        <w:rPr>
          <w:sz w:val="24"/>
          <w:szCs w:val="24"/>
          <w:lang w:eastAsia="pt-BR"/>
        </w:rPr>
        <w:t xml:space="preserve">Pelo </w:t>
      </w:r>
      <w:r>
        <w:rPr>
          <w:b/>
          <w:bCs/>
          <w:sz w:val="24"/>
          <w:szCs w:val="24"/>
          <w:lang w:eastAsia="pt-BR"/>
        </w:rPr>
        <w:t>ÓRGÃO GERENCIADOR</w:t>
      </w:r>
    </w:p>
    <w:p>
      <w:pPr>
        <w:jc w:val="right"/>
        <w:rPr>
          <w:rFonts w:ascii="Times New Roman" w:hAnsi="Times New Roman" w:cs="Times New Roman"/>
          <w:b/>
          <w:bCs/>
          <w:i w:val="0"/>
          <w:szCs w:val="24"/>
        </w:rPr>
      </w:pPr>
      <w:r>
        <w:rPr>
          <w:sz w:val="24"/>
          <w:szCs w:val="24"/>
          <w:lang w:eastAsia="pt-BR"/>
        </w:rPr>
        <w:t xml:space="preserve">NAVIRAÍ - MS, </w:t>
      </w:r>
      <w:r>
        <w:rPr>
          <w:sz w:val="24"/>
          <w:szCs w:val="24"/>
          <w:u w:val="single"/>
          <w:lang w:eastAsia="pt-BR"/>
        </w:rPr>
        <w:t>______/______/2022</w:t>
      </w:r>
      <w:r>
        <w:t>.</w:t>
      </w:r>
    </w:p>
    <w:p>
      <w:pPr>
        <w:jc w:val="right"/>
        <w:rPr>
          <w:sz w:val="24"/>
          <w:szCs w:val="24"/>
          <w:lang w:eastAsia="pt-BR"/>
        </w:rPr>
      </w:pPr>
    </w:p>
    <w:tbl>
      <w:tblPr>
        <w:tblStyle w:val="12"/>
        <w:tblW w:w="9474"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Pr>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TATIANE MARIA DA SILVA MORCH</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Ger. de Educação e Cultura e Ordenadora de Despesas</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Conforme Decreto nº 006/2021</w:t>
            </w:r>
          </w:p>
          <w:p>
            <w:pPr>
              <w:widowControl w:val="0"/>
              <w:tabs>
                <w:tab w:val="left" w:pos="5562"/>
              </w:tabs>
              <w:spacing w:before="0" w:after="0"/>
              <w:ind w:left="0" w:right="33" w:firstLine="0"/>
              <w:jc w:val="center"/>
              <w:rPr>
                <w:rFonts w:eastAsia="MS Mincho;ＭＳ 明朝"/>
                <w:b/>
                <w:iCs/>
                <w:sz w:val="22"/>
                <w:szCs w:val="22"/>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r>
        <w:tblPrEx>
          <w:tblCellMar>
            <w:top w:w="0" w:type="dxa"/>
            <w:left w:w="108" w:type="dxa"/>
            <w:bottom w:w="0" w:type="dxa"/>
            <w:right w:w="108" w:type="dxa"/>
          </w:tblCellMar>
        </w:tblPrEx>
        <w:tc>
          <w:tcPr>
            <w:tcW w:w="5778" w:type="dxa"/>
          </w:tcPr>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KARIN TAISE MATSUOCA</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Gerente de Saúde e Ordenadora de Despesas</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Conforme Decreto nº. 081/2022</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r>
        <w:tblPrEx>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r>
              <w:rPr>
                <w:rFonts w:eastAsia="MS Mincho;ＭＳ 明朝"/>
                <w:b/>
                <w:iCs/>
                <w:kern w:val="0"/>
                <w:sz w:val="22"/>
                <w:szCs w:val="22"/>
              </w:rPr>
              <w:t>LUIZ ALBERTO ÁVILA SILVA JUNIOR</w:t>
            </w:r>
          </w:p>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r>
              <w:rPr>
                <w:rFonts w:eastAsia="MS Mincho;ＭＳ 明朝"/>
                <w:b/>
                <w:iCs/>
                <w:kern w:val="0"/>
                <w:sz w:val="22"/>
                <w:szCs w:val="22"/>
              </w:rPr>
              <w:t>Gerente de Meio Ambiente e Ordenador de Despesas</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Conforme Decreto nº 013/2021</w:t>
            </w:r>
          </w:p>
          <w:p>
            <w:pPr>
              <w:widowControl w:val="0"/>
              <w:tabs>
                <w:tab w:val="left" w:pos="5562"/>
              </w:tabs>
              <w:spacing w:before="0" w:after="0"/>
              <w:ind w:left="0" w:right="33" w:firstLine="0"/>
              <w:jc w:val="center"/>
              <w:rPr>
                <w:rFonts w:eastAsia="MS Mincho;ＭＳ 明朝"/>
                <w:b/>
                <w:iCs/>
                <w:sz w:val="22"/>
                <w:szCs w:val="22"/>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r>
        <w:tblPrEx>
          <w:tblCellMar>
            <w:top w:w="0" w:type="dxa"/>
            <w:left w:w="108" w:type="dxa"/>
            <w:bottom w:w="0" w:type="dxa"/>
            <w:right w:w="108" w:type="dxa"/>
          </w:tblCellMar>
        </w:tblPrEx>
        <w:tc>
          <w:tcPr>
            <w:tcW w:w="5778" w:type="dxa"/>
          </w:tcPr>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LUCINEIA PULQUÉRIO GARCIA FRANCISCATTI</w:t>
            </w:r>
          </w:p>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Ger. de Assist. Social e Ord. De Despesas</w:t>
            </w:r>
          </w:p>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Conforme Decreto nº. 012/2021</w:t>
            </w: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jc w:val="center"/>
              <w:rPr>
                <w:rFonts w:eastAsia="MS Mincho;ＭＳ 明朝"/>
                <w:b/>
                <w:iCs/>
                <w:sz w:val="22"/>
              </w:rPr>
            </w:pPr>
            <w:r>
              <w:rPr>
                <w:rFonts w:eastAsia="MS Mincho;ＭＳ 明朝"/>
                <w:b/>
                <w:iCs/>
                <w:kern w:val="0"/>
                <w:sz w:val="22"/>
              </w:rPr>
              <w:t>Gerenciador da Ata</w:t>
            </w:r>
          </w:p>
          <w:p>
            <w:pPr>
              <w:widowControl w:val="0"/>
              <w:spacing w:before="0" w:after="0"/>
              <w:jc w:val="center"/>
              <w:rPr>
                <w:rFonts w:eastAsia="MS Mincho;ＭＳ 明朝"/>
                <w:b/>
                <w:iCs/>
                <w:sz w:val="22"/>
              </w:rPr>
            </w:pPr>
          </w:p>
        </w:tc>
      </w:tr>
    </w:tbl>
    <w:p>
      <w:pPr>
        <w:jc w:val="right"/>
        <w:rPr>
          <w:sz w:val="24"/>
          <w:szCs w:val="24"/>
          <w:lang w:eastAsia="pt-BR"/>
        </w:rPr>
      </w:pPr>
    </w:p>
    <w:p>
      <w:pPr>
        <w:jc w:val="both"/>
        <w:rPr>
          <w:rFonts w:ascii="Times New Roman" w:hAnsi="Times New Roman" w:cs="Times New Roman"/>
          <w:b/>
          <w:bCs/>
          <w:i w:val="0"/>
          <w:szCs w:val="24"/>
        </w:rPr>
      </w:pPr>
      <w:r>
        <w:rPr>
          <w:sz w:val="24"/>
          <w:szCs w:val="24"/>
          <w:lang w:eastAsia="pt-BR"/>
        </w:rPr>
        <w:t xml:space="preserve">Pelo </w:t>
      </w:r>
      <w:r>
        <w:rPr>
          <w:b/>
          <w:bCs/>
          <w:sz w:val="24"/>
          <w:szCs w:val="24"/>
          <w:lang w:eastAsia="pt-BR"/>
        </w:rPr>
        <w:t xml:space="preserve">FORNECEDOR </w:t>
      </w:r>
    </w:p>
    <w:p>
      <w:pPr>
        <w:jc w:val="right"/>
        <w:rPr>
          <w:rFonts w:ascii="Times New Roman" w:hAnsi="Times New Roman" w:cs="Times New Roman"/>
          <w:b/>
          <w:bCs/>
          <w:i w:val="0"/>
          <w:szCs w:val="24"/>
        </w:rPr>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jc w:val="both"/>
        <w:rPr>
          <w:b/>
          <w:bCs/>
          <w:sz w:val="24"/>
          <w:szCs w:val="24"/>
        </w:rPr>
      </w:pPr>
    </w:p>
    <w:p>
      <w:pPr>
        <w:jc w:val="center"/>
        <w:rPr>
          <w:rFonts w:ascii="Times New Roman" w:hAnsi="Times New Roman" w:cs="Times New Roman"/>
          <w:b/>
          <w:bCs/>
          <w:i w:val="0"/>
          <w:szCs w:val="24"/>
        </w:rPr>
      </w:pPr>
      <w:r>
        <w:rPr>
          <w:b/>
          <w:bCs/>
          <w:sz w:val="24"/>
          <w:szCs w:val="24"/>
        </w:rPr>
        <w:t>PREGÃO PRESENCIAL Nº 88/2022</w:t>
      </w:r>
    </w:p>
    <w:p>
      <w:pPr>
        <w:pStyle w:val="7"/>
        <w:numPr>
          <w:ilvl w:val="5"/>
          <w:numId w:val="1"/>
        </w:numPr>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numPr>
          <w:ilvl w:val="5"/>
          <w:numId w:val="1"/>
        </w:numPr>
        <w:ind w:left="0" w:right="-568" w:firstLine="0"/>
        <w:jc w:val="center"/>
        <w:rPr>
          <w:rFonts w:ascii="Times New Roman" w:hAnsi="Times New Roman" w:cs="Times New Roman"/>
          <w:b w:val="0"/>
          <w:bCs w:val="0"/>
          <w:i w:val="0"/>
          <w:szCs w:val="24"/>
        </w:rPr>
      </w:pPr>
      <w:r>
        <w:rPr>
          <w:rFonts w:ascii="Times New Roman" w:hAnsi="Times New Roman" w:cs="Times New Roman"/>
          <w:b w:val="0"/>
          <w:bCs w:val="0"/>
          <w:i w:val="0"/>
          <w:szCs w:val="24"/>
        </w:rPr>
        <w:t>ANEXO IV</w:t>
      </w:r>
    </w:p>
    <w:p>
      <w:pPr>
        <w:jc w:val="cente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rPr>
          <w:rFonts w:ascii="Times New Roman" w:hAnsi="Times New Roman" w:cs="Times New Roman"/>
          <w:b/>
          <w:bCs/>
          <w:i w:val="0"/>
          <w:szCs w:val="24"/>
        </w:rPr>
      </w:pPr>
      <w:r>
        <w:rPr>
          <w:iCs/>
          <w:sz w:val="24"/>
          <w:szCs w:val="24"/>
        </w:rPr>
        <w:t xml:space="preserve">I - </w:t>
      </w:r>
      <w:r>
        <w:rPr>
          <w:iCs/>
          <w:sz w:val="24"/>
          <w:szCs w:val="24"/>
        </w:rPr>
        <w:tab/>
      </w:r>
      <w:r>
        <w:rPr>
          <w:iCs/>
          <w:sz w:val="24"/>
          <w:szCs w:val="24"/>
        </w:rPr>
        <w:t>CONTRATANTE: PREFEITURA DE NAVIRAÍ, Pessoa Jurídica de Direito Público Interno, com sede a Avenida Weimar Gonçalves Torres, 862 - Centro, inscrita no CGC/MF sob o n.º 03.155.934/0001-90, por meio do Fundo Municipal de Saúde, com sede a Avenida Amélia Fukuda nº. 100, inscrito no CGC/MF sob o n.º 11.221.619/0001-42, por meio do Fundo Municipal de Assistência Social, com sede a Avenida Iguatemi nº. 22, inscrito no CGC/MF sob o n.º 13.629.987/0001-50, por meio da Fundação Cultural, com sede a Rua Joaquim das Neves Norte nº. 490, inscrita no CGC/MF sob o n.º 00.063.821/0001-77,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rPr>
          <w:rFonts w:ascii="Times New Roman" w:hAnsi="Times New Roman" w:cs="Times New Roman"/>
          <w:b/>
          <w:bCs/>
          <w:i w:val="0"/>
          <w:szCs w:val="24"/>
        </w:rPr>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bCs/>
          <w:iCs/>
          <w:sz w:val="24"/>
          <w:szCs w:val="24"/>
          <w:u w:val="single"/>
        </w:rPr>
        <w:t>Karin Taise Matsuoca</w:t>
      </w:r>
      <w:r>
        <w:rPr>
          <w:iCs/>
          <w:sz w:val="24"/>
          <w:szCs w:val="24"/>
        </w:rPr>
        <w:t>, Gerente de Saúde e Ordenadora de Despesas conforme Decreto nº. 081/2022, brasileira, portadora do CPF/MF nº. 017.341.949-60 e Cédula de Identidade RG nº. 59.286.935 SSP/PR, residente e domiciliado nesta cidade à Avenida Dourados, s/nº.;</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rPr>
          <w:rFonts w:ascii="Times New Roman" w:hAnsi="Times New Roman" w:cs="Times New Roman"/>
          <w:b/>
          <w:bCs/>
          <w:i w:val="0"/>
          <w:szCs w:val="24"/>
        </w:rPr>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206/2022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88/2022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rPr>
          <w:rFonts w:ascii="Times New Roman" w:hAnsi="Times New Roman" w:cs="Times New Roman"/>
          <w:b/>
          <w:bCs/>
          <w:i w:val="0"/>
          <w:szCs w:val="24"/>
        </w:rPr>
      </w:pPr>
      <w:r>
        <w:rPr>
          <w:iCs/>
          <w:sz w:val="24"/>
          <w:szCs w:val="24"/>
        </w:rPr>
        <w:t xml:space="preserve">Constitui objeto deste Contrato a </w:t>
      </w:r>
      <w:r>
        <w:rPr>
          <w:b/>
          <w:iCs/>
          <w:sz w:val="24"/>
          <w:szCs w:val="24"/>
        </w:rPr>
        <w:t>REGISTRO DE PREÇO OBJETIVANDO AQUISIÇÃO FUTURA DE GÊNERO ALIMENTÍCIO (HORTIFRUTI), CONFORME TERMO DE REFERÊNCIA, EM ATENDIMENTO AS GERÊNCIAS MUNICIPAIS DE NAVIRAÍ/MS. PEDIDO DE COMPRA Nº 37/2022.</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rPr>
          <w:rFonts w:ascii="Times New Roman" w:hAnsi="Times New Roman" w:cs="Times New Roman"/>
          <w:b/>
          <w:bCs/>
          <w:i w:val="0"/>
          <w:szCs w:val="24"/>
        </w:rPr>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rPr>
          <w:rFonts w:ascii="Times New Roman" w:hAnsi="Times New Roman" w:cs="Times New Roman"/>
          <w:b/>
          <w:bCs/>
          <w:i w:val="0"/>
          <w:szCs w:val="24"/>
        </w:rPr>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rPr>
          <w:rFonts w:ascii="Times New Roman" w:hAnsi="Times New Roman" w:cs="Times New Roman"/>
          <w:b/>
          <w:bCs/>
          <w:i w:val="0"/>
          <w:szCs w:val="24"/>
        </w:rPr>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rPr>
          <w:rFonts w:ascii="Times New Roman" w:hAnsi="Times New Roman" w:cs="Times New Roman"/>
          <w:b/>
          <w:bCs/>
          <w:i w:val="0"/>
          <w:szCs w:val="24"/>
        </w:rPr>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rPr>
          <w:rFonts w:ascii="Times New Roman" w:hAnsi="Times New Roman" w:cs="Times New Roman"/>
          <w:b/>
          <w:bCs/>
          <w:i w:val="0"/>
          <w:szCs w:val="24"/>
        </w:rPr>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rPr>
          <w:rFonts w:ascii="Times New Roman" w:hAnsi="Times New Roman" w:cs="Times New Roman"/>
          <w:b/>
          <w:bCs/>
          <w:i w:val="0"/>
          <w:szCs w:val="24"/>
        </w:rPr>
      </w:pPr>
      <w:r>
        <w:rPr>
          <w:b/>
          <w:bCs/>
          <w:iCs/>
          <w:sz w:val="24"/>
          <w:szCs w:val="24"/>
        </w:rPr>
        <w:t>2.2</w:t>
      </w:r>
      <w:r>
        <w:rPr>
          <w:iCs/>
          <w:sz w:val="24"/>
          <w:szCs w:val="24"/>
        </w:rPr>
        <w:t xml:space="preserve"> Além das obrigações resultantes da observância da Lei 8.666/93, são obrigações da CONTRATANTE</w:t>
      </w:r>
    </w:p>
    <w:p>
      <w:pPr>
        <w:jc w:val="both"/>
        <w:rPr>
          <w:iCs/>
          <w:sz w:val="24"/>
          <w:szCs w:val="24"/>
        </w:rPr>
      </w:pPr>
    </w:p>
    <w:p>
      <w:pPr>
        <w:tabs>
          <w:tab w:val="left" w:pos="360"/>
        </w:tabs>
        <w:ind w:left="360" w:right="0" w:firstLine="0"/>
        <w:jc w:val="both"/>
        <w:rPr>
          <w:rFonts w:ascii="Times New Roman" w:hAnsi="Times New Roman" w:cs="Times New Roman"/>
          <w:b/>
          <w:bCs/>
          <w:i w:val="0"/>
          <w:szCs w:val="24"/>
        </w:rPr>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rPr>
          <w:rFonts w:ascii="Times New Roman" w:hAnsi="Times New Roman" w:cs="Times New Roman"/>
          <w:b/>
          <w:bCs/>
          <w:i w:val="0"/>
          <w:szCs w:val="24"/>
        </w:rPr>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rPr>
          <w:rFonts w:ascii="Times New Roman" w:hAnsi="Times New Roman" w:cs="Times New Roman"/>
          <w:b/>
          <w:bCs/>
          <w:i w:val="0"/>
          <w:szCs w:val="24"/>
        </w:rPr>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rPr>
          <w:rFonts w:ascii="Times New Roman" w:hAnsi="Times New Roman" w:cs="Times New Roman"/>
          <w:b/>
          <w:bCs/>
          <w:i w:val="0"/>
          <w:szCs w:val="24"/>
        </w:rPr>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rPr>
          <w:rFonts w:ascii="Times New Roman" w:hAnsi="Times New Roman" w:cs="Times New Roman"/>
          <w:b/>
          <w:bCs/>
          <w:i w:val="0"/>
          <w:szCs w:val="24"/>
        </w:rPr>
      </w:pPr>
      <w:r>
        <w:rPr>
          <w:b/>
          <w:bCs/>
          <w:sz w:val="24"/>
          <w:szCs w:val="24"/>
        </w:rPr>
        <w:t>3.1</w:t>
      </w:r>
      <w:r>
        <w:rPr>
          <w:sz w:val="24"/>
          <w:szCs w:val="24"/>
        </w:rPr>
        <w:t xml:space="preserve">  Os itens licitados serão solicitados conforme a necessidade da Gerência, e deverão ser entregues no </w:t>
      </w:r>
      <w:r>
        <w:rPr>
          <w:sz w:val="24"/>
          <w:szCs w:val="24"/>
          <w:lang w:val="pt-BR"/>
        </w:rPr>
        <w:t>local indicado na Ordem de Fornecimento</w:t>
      </w:r>
      <w:r>
        <w:rPr>
          <w:sz w:val="24"/>
          <w:szCs w:val="24"/>
        </w:rPr>
        <w:t xml:space="preserve">, pelo prazo máximo de </w:t>
      </w:r>
      <w:r>
        <w:rPr>
          <w:b/>
          <w:bCs/>
          <w:sz w:val="24"/>
          <w:szCs w:val="24"/>
          <w:lang w:val="pt-BR"/>
        </w:rPr>
        <w:t>48 horas</w:t>
      </w:r>
      <w:r>
        <w:rPr>
          <w:sz w:val="24"/>
          <w:szCs w:val="24"/>
        </w:rPr>
        <w:t xml:space="preserve"> a contar do recebimento da requisição devidamente assinada.</w:t>
      </w:r>
    </w:p>
    <w:p>
      <w:pPr>
        <w:jc w:val="both"/>
        <w:rPr>
          <w:sz w:val="24"/>
          <w:szCs w:val="24"/>
        </w:rPr>
      </w:pPr>
    </w:p>
    <w:p>
      <w:pPr>
        <w:jc w:val="both"/>
        <w:rPr>
          <w:rFonts w:ascii="Times New Roman" w:hAnsi="Times New Roman" w:cs="Times New Roman"/>
          <w:b/>
          <w:bCs/>
          <w:i w:val="0"/>
          <w:szCs w:val="24"/>
        </w:rPr>
      </w:pPr>
      <w:r>
        <w:rPr>
          <w:b/>
          <w:bCs/>
          <w:sz w:val="24"/>
          <w:szCs w:val="24"/>
        </w:rPr>
        <w:t>3.2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rPr>
          <w:sz w:val="24"/>
          <w:szCs w:val="24"/>
        </w:rPr>
      </w:pPr>
      <w:r>
        <w:rPr>
          <w:b/>
          <w:bCs/>
          <w:sz w:val="24"/>
          <w:szCs w:val="24"/>
        </w:rPr>
        <w:t>3.3</w:t>
      </w:r>
      <w:r>
        <w:rPr>
          <w:sz w:val="24"/>
          <w:szCs w:val="24"/>
        </w:rPr>
        <w:t xml:space="preserve">  A licitante vencedora ficará obrigada a trocar as suas expensas o material que vier a ser recusado sendo que ato de recebimento não importará sua aceitação.</w:t>
      </w:r>
    </w:p>
    <w:p>
      <w:pPr>
        <w:jc w:val="both"/>
        <w:rPr>
          <w:rFonts w:ascii="Times New Roman" w:hAnsi="Times New Roman" w:cs="Times New Roman"/>
          <w:b/>
          <w:bCs/>
          <w:i w:val="0"/>
          <w:szCs w:val="24"/>
        </w:rPr>
      </w:pPr>
      <w:r>
        <w:rPr>
          <w:b/>
          <w:bCs/>
          <w:sz w:val="24"/>
          <w:szCs w:val="24"/>
        </w:rPr>
        <w:t>3.4</w:t>
      </w:r>
      <w:r>
        <w:rPr>
          <w:sz w:val="24"/>
          <w:szCs w:val="24"/>
        </w:rPr>
        <w:t xml:space="preserve">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numPr>
          <w:ilvl w:val="2"/>
          <w:numId w:val="1"/>
        </w:numPr>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rPr>
          <w:rFonts w:ascii="Times New Roman" w:hAnsi="Times New Roman" w:cs="Times New Roman"/>
          <w:b/>
          <w:bCs/>
          <w:i w:val="0"/>
          <w:szCs w:val="24"/>
        </w:rPr>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fixed"/>
        <w:tblCellMar>
          <w:top w:w="0" w:type="dxa"/>
          <w:left w:w="70" w:type="dxa"/>
          <w:bottom w:w="0" w:type="dxa"/>
          <w:right w:w="70" w:type="dxa"/>
        </w:tblCellMar>
      </w:tblPr>
      <w:tblGrid>
        <w:gridCol w:w="567"/>
        <w:gridCol w:w="633"/>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widowControl w:val="0"/>
              <w:spacing w:before="0" w:after="0"/>
              <w:jc w:val="center"/>
              <w:rPr>
                <w:bCs/>
              </w:rPr>
            </w:pPr>
            <w:r>
              <w:rPr>
                <w:bCs/>
                <w:kern w:val="0"/>
              </w:rPr>
              <w:t>Item</w:t>
            </w:r>
          </w:p>
        </w:tc>
        <w:tc>
          <w:tcPr>
            <w:tcW w:w="633" w:type="dxa"/>
            <w:tcBorders>
              <w:top w:val="single" w:color="000000" w:sz="4" w:space="0"/>
              <w:left w:val="single" w:color="000000" w:sz="4" w:space="0"/>
              <w:bottom w:val="single" w:color="000000" w:sz="4" w:space="0"/>
            </w:tcBorders>
          </w:tcPr>
          <w:p>
            <w:pPr>
              <w:widowControl w:val="0"/>
              <w:spacing w:before="0" w:after="0"/>
              <w:jc w:val="center"/>
              <w:rPr>
                <w:bCs/>
              </w:rPr>
            </w:pPr>
            <w:r>
              <w:rPr>
                <w:bCs/>
                <w:kern w:val="0"/>
              </w:rPr>
              <w:t>Cód.</w:t>
            </w:r>
          </w:p>
        </w:tc>
        <w:tc>
          <w:tcPr>
            <w:tcW w:w="3118" w:type="dxa"/>
            <w:tcBorders>
              <w:top w:val="single" w:color="000000" w:sz="4" w:space="0"/>
              <w:left w:val="single" w:color="000000" w:sz="4" w:space="0"/>
              <w:bottom w:val="single" w:color="000000" w:sz="4" w:space="0"/>
            </w:tcBorders>
          </w:tcPr>
          <w:p>
            <w:pPr>
              <w:widowControl w:val="0"/>
              <w:spacing w:before="0" w:after="0"/>
              <w:jc w:val="center"/>
              <w:rPr>
                <w:bCs/>
              </w:rPr>
            </w:pPr>
            <w:r>
              <w:rPr>
                <w:bCs/>
                <w:kern w:val="0"/>
              </w:rPr>
              <w:t>Descrição do Item</w:t>
            </w:r>
          </w:p>
        </w:tc>
        <w:tc>
          <w:tcPr>
            <w:tcW w:w="992" w:type="dxa"/>
            <w:tcBorders>
              <w:top w:val="single" w:color="000000" w:sz="4" w:space="0"/>
              <w:left w:val="single" w:color="000000" w:sz="4" w:space="0"/>
              <w:bottom w:val="single" w:color="000000" w:sz="4" w:space="0"/>
            </w:tcBorders>
          </w:tcPr>
          <w:p>
            <w:pPr>
              <w:widowControl w:val="0"/>
              <w:spacing w:before="0" w:after="0"/>
              <w:jc w:val="center"/>
              <w:rPr>
                <w:bCs/>
                <w:lang w:val="es-MX"/>
              </w:rPr>
            </w:pPr>
            <w:r>
              <w:rPr>
                <w:bCs/>
                <w:kern w:val="0"/>
                <w:lang w:val="es-MX"/>
              </w:rPr>
              <w:t>Marca</w:t>
            </w:r>
          </w:p>
        </w:tc>
        <w:tc>
          <w:tcPr>
            <w:tcW w:w="1134" w:type="dxa"/>
            <w:tcBorders>
              <w:top w:val="single" w:color="000000" w:sz="4" w:space="0"/>
              <w:left w:val="single" w:color="000000" w:sz="4" w:space="0"/>
              <w:bottom w:val="single" w:color="000000" w:sz="4" w:space="0"/>
            </w:tcBorders>
          </w:tcPr>
          <w:p>
            <w:pPr>
              <w:widowControl w:val="0"/>
              <w:spacing w:before="0" w:after="0"/>
              <w:jc w:val="center"/>
              <w:rPr>
                <w:bCs/>
                <w:lang w:val="es-MX"/>
              </w:rPr>
            </w:pPr>
            <w:r>
              <w:rPr>
                <w:bCs/>
                <w:kern w:val="0"/>
                <w:lang w:val="es-MX"/>
              </w:rPr>
              <w:t>Unid</w:t>
            </w:r>
          </w:p>
        </w:tc>
        <w:tc>
          <w:tcPr>
            <w:tcW w:w="851" w:type="dxa"/>
            <w:tcBorders>
              <w:top w:val="single" w:color="000000" w:sz="4" w:space="0"/>
              <w:left w:val="single" w:color="000000" w:sz="4" w:space="0"/>
              <w:bottom w:val="single" w:color="000000" w:sz="4" w:space="0"/>
            </w:tcBorders>
          </w:tcPr>
          <w:p>
            <w:pPr>
              <w:widowControl w:val="0"/>
              <w:spacing w:before="0" w:after="0"/>
              <w:jc w:val="center"/>
              <w:rPr>
                <w:bCs/>
                <w:lang w:val="es-MX"/>
              </w:rPr>
            </w:pPr>
            <w:r>
              <w:rPr>
                <w:bCs/>
                <w:kern w:val="0"/>
                <w:lang w:val="es-MX"/>
              </w:rPr>
              <w:t>Qte</w:t>
            </w:r>
          </w:p>
        </w:tc>
        <w:tc>
          <w:tcPr>
            <w:tcW w:w="1134" w:type="dxa"/>
            <w:tcBorders>
              <w:top w:val="single" w:color="000000" w:sz="4" w:space="0"/>
              <w:left w:val="single" w:color="000000" w:sz="4" w:space="0"/>
              <w:bottom w:val="single" w:color="000000" w:sz="4" w:space="0"/>
            </w:tcBorders>
          </w:tcPr>
          <w:p>
            <w:pPr>
              <w:widowControl w:val="0"/>
              <w:spacing w:before="0" w:after="0"/>
              <w:jc w:val="center"/>
              <w:rPr>
                <w:bCs/>
              </w:rPr>
            </w:pPr>
            <w:r>
              <w:rPr>
                <w:bCs/>
                <w:kern w:val="0"/>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bCs/>
              </w:rPr>
            </w:pPr>
            <w:r>
              <w:rPr>
                <w:bCs/>
                <w:kern w:val="0"/>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widowControl w:val="0"/>
              <w:snapToGrid w:val="0"/>
              <w:spacing w:before="0" w:after="0"/>
              <w:jc w:val="center"/>
              <w:rPr>
                <w:bCs/>
              </w:rPr>
            </w:pPr>
          </w:p>
        </w:tc>
        <w:tc>
          <w:tcPr>
            <w:tcW w:w="633" w:type="dxa"/>
            <w:tcBorders>
              <w:top w:val="single" w:color="000000" w:sz="4" w:space="0"/>
              <w:left w:val="single" w:color="000000" w:sz="4" w:space="0"/>
              <w:bottom w:val="single" w:color="000000" w:sz="4" w:space="0"/>
            </w:tcBorders>
            <w:vAlign w:val="center"/>
          </w:tcPr>
          <w:p>
            <w:pPr>
              <w:widowControl w:val="0"/>
              <w:snapToGrid w:val="0"/>
              <w:spacing w:before="0" w:after="0"/>
              <w:jc w:val="center"/>
              <w:rPr>
                <w:bCs/>
              </w:rPr>
            </w:pPr>
          </w:p>
        </w:tc>
        <w:tc>
          <w:tcPr>
            <w:tcW w:w="3118" w:type="dxa"/>
            <w:tcBorders>
              <w:top w:val="single" w:color="000000" w:sz="4" w:space="0"/>
              <w:left w:val="single" w:color="000000" w:sz="4" w:space="0"/>
              <w:bottom w:val="single" w:color="000000" w:sz="4" w:space="0"/>
            </w:tcBorders>
          </w:tcPr>
          <w:p>
            <w:pPr>
              <w:widowControl w:val="0"/>
              <w:snapToGrid w:val="0"/>
              <w:spacing w:before="0" w:after="0"/>
              <w:jc w:val="both"/>
              <w:rPr>
                <w:bCs/>
              </w:rPr>
            </w:pPr>
          </w:p>
        </w:tc>
        <w:tc>
          <w:tcPr>
            <w:tcW w:w="992" w:type="dxa"/>
            <w:tcBorders>
              <w:top w:val="single" w:color="000000" w:sz="4" w:space="0"/>
              <w:left w:val="single" w:color="000000" w:sz="4" w:space="0"/>
              <w:bottom w:val="single" w:color="000000" w:sz="4" w:space="0"/>
            </w:tcBorders>
            <w:vAlign w:val="center"/>
          </w:tcPr>
          <w:p>
            <w:pPr>
              <w:widowControl w:val="0"/>
              <w:snapToGrid w:val="0"/>
              <w:spacing w:before="0" w:after="0"/>
              <w:jc w:val="left"/>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spacing w:before="0" w:after="0"/>
              <w:jc w:val="center"/>
              <w:rPr>
                <w:bCs/>
              </w:rPr>
            </w:pPr>
          </w:p>
        </w:tc>
        <w:tc>
          <w:tcPr>
            <w:tcW w:w="851" w:type="dxa"/>
            <w:tcBorders>
              <w:top w:val="single" w:color="000000" w:sz="4" w:space="0"/>
              <w:left w:val="single" w:color="000000" w:sz="4" w:space="0"/>
              <w:bottom w:val="single" w:color="000000" w:sz="4" w:space="0"/>
            </w:tcBorders>
            <w:vAlign w:val="center"/>
          </w:tcPr>
          <w:p>
            <w:pPr>
              <w:widowControl w:val="0"/>
              <w:snapToGrid w:val="0"/>
              <w:spacing w:before="0" w:after="0"/>
              <w:jc w:val="center"/>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spacing w:before="0" w:after="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before="0" w:after="0"/>
              <w:jc w:val="center"/>
              <w:rPr>
                <w:bCs/>
              </w:rPr>
            </w:pPr>
          </w:p>
        </w:tc>
      </w:tr>
    </w:tbl>
    <w:p>
      <w:pPr>
        <w:widowControl w:val="0"/>
        <w:jc w:val="both"/>
        <w:rPr>
          <w:iCs/>
          <w:sz w:val="24"/>
          <w:szCs w:val="24"/>
        </w:rPr>
      </w:pPr>
    </w:p>
    <w:p>
      <w:pPr>
        <w:pStyle w:val="17"/>
        <w:ind w:left="0" w:right="0" w:firstLine="0"/>
        <w:rPr>
          <w:rFonts w:ascii="Times New Roman" w:hAnsi="Times New Roman" w:cs="Times New Roman"/>
          <w:b/>
          <w:bCs/>
          <w:i w:val="0"/>
          <w:szCs w:val="24"/>
        </w:rPr>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rPr>
          <w:rFonts w:ascii="Times New Roman" w:hAnsi="Times New Roman" w:cs="Times New Roman"/>
          <w:b/>
          <w:bCs/>
          <w:i w:val="0"/>
          <w:szCs w:val="24"/>
        </w:rPr>
      </w:pPr>
      <w:r>
        <w:rPr>
          <w:b/>
          <w:iCs/>
          <w:sz w:val="24"/>
          <w:szCs w:val="24"/>
        </w:rPr>
        <w:t>4.3</w:t>
      </w:r>
      <w:r>
        <w:rPr>
          <w:bCs/>
          <w:iCs/>
          <w:sz w:val="24"/>
          <w:szCs w:val="24"/>
        </w:rPr>
        <w:t xml:space="preserve"> O pagamento será efetuado em até 30 (trinta) dias, a contar da efetiva entrega dos materiais desta licitação, mediante apresentação da respectiva Nota Fiscal.</w:t>
      </w:r>
    </w:p>
    <w:p>
      <w:pPr>
        <w:jc w:val="both"/>
        <w:rPr>
          <w:bCs/>
          <w:iCs/>
          <w:sz w:val="24"/>
          <w:szCs w:val="24"/>
        </w:rPr>
      </w:pPr>
    </w:p>
    <w:p>
      <w:pPr>
        <w:jc w:val="both"/>
        <w:rPr>
          <w:rFonts w:ascii="Times New Roman" w:hAnsi="Times New Roman" w:cs="Times New Roman"/>
          <w:b/>
          <w:bCs/>
          <w:i w:val="0"/>
          <w:szCs w:val="24"/>
        </w:rPr>
      </w:pPr>
      <w:r>
        <w:rPr>
          <w:b/>
          <w:bCs/>
          <w:iCs/>
          <w:sz w:val="24"/>
          <w:szCs w:val="24"/>
        </w:rPr>
        <w:t xml:space="preserve">4.4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rPr>
          <w:rFonts w:ascii="Times New Roman" w:hAnsi="Times New Roman" w:cs="Times New Roman"/>
          <w:b/>
          <w:bCs/>
          <w:i w:val="0"/>
          <w:szCs w:val="24"/>
        </w:rPr>
      </w:pPr>
      <w:r>
        <w:rPr>
          <w:b/>
          <w:bCs/>
          <w:iCs/>
          <w:sz w:val="24"/>
          <w:szCs w:val="24"/>
        </w:rPr>
        <w:t>4.5</w:t>
      </w:r>
      <w:r>
        <w:rPr>
          <w:bCs/>
          <w:iCs/>
          <w:sz w:val="24"/>
          <w:szCs w:val="24"/>
        </w:rPr>
        <w:t xml:space="preserve">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rPr>
          <w:rFonts w:ascii="Times New Roman" w:hAnsi="Times New Roman" w:cs="Times New Roman"/>
          <w:b/>
          <w:bCs/>
          <w:i w:val="0"/>
          <w:szCs w:val="24"/>
        </w:rPr>
      </w:pPr>
      <w:r>
        <w:rPr>
          <w:b/>
          <w:iCs/>
          <w:sz w:val="24"/>
          <w:szCs w:val="24"/>
        </w:rPr>
        <w:t>4.6</w:t>
      </w:r>
      <w:r>
        <w:rPr>
          <w:iCs/>
          <w:sz w:val="24"/>
          <w:szCs w:val="24"/>
        </w:rPr>
        <w:t xml:space="preserve"> Em caso de devolução da Nota Fiscal para correção, o prazo para pagamento passará a fluir após a sua reapresentação.</w:t>
      </w:r>
    </w:p>
    <w:p>
      <w:pPr>
        <w:widowControl w:val="0"/>
        <w:jc w:val="both"/>
        <w:rPr>
          <w:iCs/>
          <w:sz w:val="24"/>
          <w:szCs w:val="24"/>
        </w:rPr>
      </w:pPr>
    </w:p>
    <w:p>
      <w:pPr>
        <w:jc w:val="both"/>
        <w:rPr>
          <w:rFonts w:ascii="Times New Roman" w:hAnsi="Times New Roman" w:cs="Times New Roman"/>
          <w:b/>
          <w:bCs/>
          <w:i w:val="0"/>
          <w:szCs w:val="24"/>
        </w:rPr>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rPr>
          <w:rFonts w:ascii="Times New Roman" w:hAnsi="Times New Roman" w:cs="Times New Roman"/>
          <w:b/>
          <w:bCs/>
          <w:i w:val="0"/>
          <w:szCs w:val="24"/>
        </w:rPr>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rPr>
          <w:rFonts w:ascii="Times New Roman" w:hAnsi="Times New Roman" w:cs="Times New Roman"/>
          <w:b/>
          <w:bCs/>
          <w:i w:val="0"/>
          <w:szCs w:val="24"/>
        </w:rPr>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right="-96" w:firstLine="0"/>
        <w:jc w:val="both"/>
        <w:rPr>
          <w:sz w:val="24"/>
          <w:szCs w:val="24"/>
        </w:rPr>
      </w:pPr>
    </w:p>
    <w:p>
      <w:pPr>
        <w:tabs>
          <w:tab w:val="left" w:pos="851"/>
        </w:tabs>
        <w:ind w:left="851" w:right="-96" w:hanging="851"/>
        <w:jc w:val="both"/>
        <w:rPr>
          <w:rFonts w:ascii="Times New Roman" w:hAnsi="Times New Roman" w:cs="Times New Roman"/>
          <w:b/>
          <w:bCs/>
          <w:i w:val="0"/>
          <w:szCs w:val="24"/>
        </w:rPr>
      </w:pPr>
      <w:r>
        <w:rPr>
          <w:b/>
          <w:bCs/>
          <w:sz w:val="24"/>
          <w:szCs w:val="24"/>
        </w:rPr>
        <w:t>4.7.</w:t>
      </w:r>
      <w:r>
        <w:rPr>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rPr>
          <w:rFonts w:ascii="Times New Roman" w:hAnsi="Times New Roman" w:cs="Times New Roman"/>
          <w:b/>
          <w:bCs/>
          <w:i w:val="0"/>
          <w:szCs w:val="24"/>
        </w:rPr>
      </w:pPr>
      <w:r>
        <w:rPr>
          <w:b/>
          <w:bCs/>
          <w:sz w:val="24"/>
          <w:szCs w:val="24"/>
        </w:rPr>
        <w:t>4.7.</w:t>
      </w:r>
      <w:r>
        <w:rPr>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rPr>
          <w:rFonts w:ascii="Times New Roman" w:hAnsi="Times New Roman" w:cs="Times New Roman"/>
          <w:b/>
          <w:bCs/>
          <w:i w:val="0"/>
          <w:szCs w:val="24"/>
        </w:rPr>
      </w:pPr>
      <w:r>
        <w:rPr>
          <w:b/>
          <w:bCs/>
          <w:iCs/>
          <w:sz w:val="24"/>
          <w:szCs w:val="24"/>
        </w:rPr>
        <w:t>5.1</w:t>
      </w:r>
      <w:r>
        <w:rPr>
          <w:iCs/>
          <w:sz w:val="24"/>
          <w:szCs w:val="24"/>
        </w:rPr>
        <w:t xml:space="preserve">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rPr>
          <w:rFonts w:ascii="Times New Roman" w:hAnsi="Times New Roman" w:cs="Times New Roman"/>
          <w:b/>
          <w:bCs/>
          <w:i w:val="0"/>
          <w:szCs w:val="24"/>
        </w:rPr>
      </w:pPr>
      <w:r>
        <w:rPr>
          <w:b/>
          <w:bCs/>
          <w:iCs/>
          <w:sz w:val="24"/>
          <w:szCs w:val="24"/>
        </w:rPr>
        <w:t xml:space="preserve">5.2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rPr>
          <w:rFonts w:ascii="Times New Roman" w:hAnsi="Times New Roman" w:cs="Times New Roman"/>
          <w:b/>
          <w:bCs/>
          <w:i w:val="0"/>
          <w:szCs w:val="24"/>
        </w:rPr>
      </w:pPr>
      <w:r>
        <w:rPr>
          <w:b/>
          <w:bCs/>
          <w:iCs/>
          <w:sz w:val="24"/>
          <w:szCs w:val="24"/>
        </w:rPr>
        <w:t>5.2.1</w:t>
      </w:r>
      <w:r>
        <w:rPr>
          <w:b/>
          <w:bCs/>
          <w:iCs/>
          <w:sz w:val="24"/>
          <w:szCs w:val="24"/>
          <w:lang w:val="pt-BR"/>
        </w:rPr>
        <w:t xml:space="preserve">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rPr>
          <w:rFonts w:ascii="Times New Roman" w:hAnsi="Times New Roman" w:cs="Times New Roman"/>
          <w:b/>
          <w:bCs/>
          <w:i w:val="0"/>
          <w:szCs w:val="24"/>
        </w:rPr>
      </w:pPr>
      <w:r>
        <w:rPr>
          <w:b/>
          <w:bCs/>
          <w:iCs/>
          <w:sz w:val="24"/>
          <w:szCs w:val="24"/>
        </w:rPr>
        <w:t xml:space="preserve">5.3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rPr>
          <w:rFonts w:ascii="Times New Roman" w:hAnsi="Times New Roman" w:cs="Times New Roman"/>
          <w:b/>
          <w:bCs/>
          <w:i w:val="0"/>
          <w:szCs w:val="24"/>
        </w:rPr>
      </w:pPr>
      <w:r>
        <w:rPr>
          <w:b/>
          <w:bCs/>
          <w:iCs/>
          <w:sz w:val="24"/>
          <w:szCs w:val="24"/>
        </w:rPr>
        <w:t>6.1</w:t>
      </w:r>
      <w:r>
        <w:rPr>
          <w:iCs/>
          <w:sz w:val="24"/>
          <w:szCs w:val="24"/>
        </w:rPr>
        <w:t xml:space="preserve">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numPr>
          <w:ilvl w:val="8"/>
          <w:numId w:val="1"/>
        </w:numPr>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rPr>
          <w:rFonts w:ascii="Times New Roman" w:hAnsi="Times New Roman" w:cs="Times New Roman"/>
          <w:b/>
          <w:bCs/>
          <w:i w:val="0"/>
          <w:szCs w:val="24"/>
        </w:rPr>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rPr>
          <w:rFonts w:ascii="Times New Roman" w:hAnsi="Times New Roman" w:cs="Times New Roman"/>
          <w:b/>
          <w:bCs/>
          <w:i w:val="0"/>
          <w:szCs w:val="24"/>
        </w:rPr>
      </w:pPr>
      <w:r>
        <w:rPr>
          <w:b/>
          <w:bCs/>
          <w:iCs/>
          <w:sz w:val="24"/>
          <w:szCs w:val="24"/>
        </w:rPr>
        <w:t>8.1</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rPr>
          <w:rFonts w:ascii="Times New Roman" w:hAnsi="Times New Roman" w:cs="Times New Roman"/>
          <w:b/>
          <w:bCs/>
          <w:i w:val="0"/>
          <w:szCs w:val="24"/>
        </w:rPr>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7"/>
        </w:numPr>
        <w:rPr>
          <w:bCs/>
          <w:iCs/>
        </w:rPr>
      </w:pPr>
      <w:r>
        <w:rPr>
          <w:bCs/>
          <w:iCs/>
        </w:rPr>
        <w:t xml:space="preserve">Advertência; </w:t>
      </w:r>
    </w:p>
    <w:p>
      <w:pPr>
        <w:pStyle w:val="14"/>
        <w:numPr>
          <w:ilvl w:val="0"/>
          <w:numId w:val="0"/>
        </w:numPr>
        <w:ind w:left="180" w:firstLine="0"/>
        <w:rPr>
          <w:bCs/>
          <w:iCs/>
        </w:rPr>
      </w:pPr>
    </w:p>
    <w:p>
      <w:pPr>
        <w:pStyle w:val="14"/>
        <w:numPr>
          <w:ilvl w:val="0"/>
          <w:numId w:val="7"/>
        </w:numPr>
        <w:rPr>
          <w:bCs/>
          <w:iCs/>
        </w:rPr>
      </w:pPr>
      <w:r>
        <w:rPr>
          <w:bCs/>
          <w:iCs/>
        </w:rPr>
        <w:t>Multa de 10% (dez por cento) do valor do contrato,</w:t>
      </w:r>
    </w:p>
    <w:p>
      <w:pPr>
        <w:pStyle w:val="14"/>
        <w:numPr>
          <w:ilvl w:val="0"/>
          <w:numId w:val="0"/>
        </w:numPr>
        <w:ind w:left="180" w:firstLine="0"/>
        <w:rPr>
          <w:bCs/>
          <w:iCs/>
        </w:rPr>
      </w:pPr>
    </w:p>
    <w:p>
      <w:pPr>
        <w:pStyle w:val="14"/>
        <w:numPr>
          <w:ilvl w:val="0"/>
          <w:numId w:val="7"/>
        </w:numPr>
        <w:rPr>
          <w:bCs/>
          <w:iCs/>
        </w:rPr>
      </w:pPr>
      <w:r>
        <w:rPr>
          <w:bCs/>
          <w:iCs/>
        </w:rPr>
        <w:t>Suspensão temporária de participar de licitação e impedimento de contratar com a Administração por prazo não superior a 2 (dois) anos e,</w:t>
      </w:r>
    </w:p>
    <w:p>
      <w:pPr>
        <w:pStyle w:val="14"/>
        <w:numPr>
          <w:ilvl w:val="0"/>
          <w:numId w:val="7"/>
        </w:numPr>
        <w:ind w:left="900" w:right="0" w:hanging="720"/>
        <w:rPr>
          <w:bCs/>
          <w:iCs/>
          <w:lang w:val="pt-BR"/>
        </w:rPr>
      </w:pPr>
      <w:r>
        <w:rPr>
          <w:bCs/>
          <w:iCs/>
        </w:rPr>
        <w:t>declaração de inidoneidade para licitar ou contratar com a Administração Pública</w:t>
      </w:r>
      <w:r>
        <w:rPr>
          <w:bCs/>
          <w:iCs/>
          <w:lang w:val="pt-BR"/>
        </w:rPr>
        <w:t>.</w:t>
      </w:r>
    </w:p>
    <w:p>
      <w:pPr>
        <w:pStyle w:val="14"/>
        <w:numPr>
          <w:ilvl w:val="0"/>
          <w:numId w:val="0"/>
        </w:numPr>
        <w:ind w:left="180" w:right="0" w:firstLine="0"/>
        <w:rPr>
          <w:bCs/>
          <w:iCs/>
          <w:lang w:val="pt-BR"/>
        </w:rPr>
      </w:pPr>
    </w:p>
    <w:p>
      <w:pPr>
        <w:pStyle w:val="14"/>
        <w:rPr>
          <w:rFonts w:ascii="Times New Roman" w:hAnsi="Times New Roman" w:cs="Times New Roman"/>
          <w:b/>
          <w:bCs/>
          <w:i w:val="0"/>
          <w:szCs w:val="24"/>
        </w:rPr>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rPr>
          <w:rFonts w:ascii="Times New Roman" w:hAnsi="Times New Roman" w:cs="Times New Roman"/>
          <w:b/>
          <w:bCs/>
          <w:i w:val="0"/>
          <w:szCs w:val="24"/>
        </w:rPr>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rPr>
          <w:rFonts w:ascii="Times New Roman" w:hAnsi="Times New Roman" w:cs="Times New Roman"/>
          <w:b/>
          <w:bCs/>
          <w:i w:val="0"/>
          <w:szCs w:val="24"/>
        </w:rPr>
      </w:pPr>
      <w:r>
        <w:rPr>
          <w:b/>
          <w:bCs/>
          <w:iCs/>
          <w:sz w:val="24"/>
          <w:szCs w:val="24"/>
        </w:rPr>
        <w:t>8.5</w:t>
      </w:r>
      <w:r>
        <w:rPr>
          <w:iCs/>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rPr>
          <w:rFonts w:ascii="Times New Roman" w:hAnsi="Times New Roman" w:cs="Times New Roman"/>
          <w:b/>
          <w:bCs/>
          <w:i w:val="0"/>
          <w:szCs w:val="24"/>
        </w:rPr>
      </w:pPr>
      <w:r>
        <w:rPr>
          <w:b/>
          <w:bCs/>
          <w:iCs/>
          <w:sz w:val="24"/>
          <w:szCs w:val="24"/>
        </w:rPr>
        <w:t>8.6</w:t>
      </w:r>
      <w:r>
        <w:rPr>
          <w:iCs/>
          <w:sz w:val="24"/>
          <w:szCs w:val="24"/>
        </w:rPr>
        <w:t xml:space="preserve">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numPr>
          <w:ilvl w:val="2"/>
          <w:numId w:val="1"/>
        </w:numPr>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rPr>
          <w:rFonts w:ascii="Times New Roman" w:hAnsi="Times New Roman" w:cs="Times New Roman"/>
          <w:b/>
          <w:bCs/>
          <w:i w:val="0"/>
          <w:szCs w:val="24"/>
        </w:rPr>
      </w:pPr>
      <w:r>
        <w:rPr>
          <w:b/>
          <w:bCs/>
          <w:iCs/>
          <w:sz w:val="24"/>
          <w:szCs w:val="24"/>
        </w:rPr>
        <w:t>9.1</w:t>
      </w:r>
      <w:r>
        <w:rPr>
          <w:iCs/>
          <w:sz w:val="24"/>
          <w:szCs w:val="24"/>
        </w:rPr>
        <w:t xml:space="preserve"> A rescisão contratual poderá ser determinada por ato unilateral, e escrito da Administração Municipal, nos casos enumerados nos incisos I, XII e XVII do art. 78 da Lei Federal nº 8.666/93;</w:t>
      </w:r>
    </w:p>
    <w:p>
      <w:pPr>
        <w:pStyle w:val="6"/>
        <w:numPr>
          <w:ilvl w:val="4"/>
          <w:numId w:val="1"/>
        </w:numPr>
        <w:ind w:left="0" w:right="0" w:firstLine="0"/>
        <w:rPr>
          <w:rFonts w:ascii="Times New Roman" w:hAnsi="Times New Roman" w:cs="Times New Roman"/>
          <w:iCs/>
          <w:sz w:val="24"/>
          <w:szCs w:val="24"/>
        </w:rPr>
      </w:pPr>
    </w:p>
    <w:p>
      <w:pPr>
        <w:pStyle w:val="6"/>
        <w:numPr>
          <w:ilvl w:val="4"/>
          <w:numId w:val="1"/>
        </w:numPr>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rPr>
          <w:rFonts w:ascii="Times New Roman" w:hAnsi="Times New Roman" w:cs="Times New Roman"/>
          <w:b/>
          <w:bCs/>
          <w:i w:val="0"/>
          <w:szCs w:val="24"/>
        </w:rPr>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rPr>
          <w:rFonts w:ascii="Times New Roman" w:hAnsi="Times New Roman" w:cs="Times New Roman"/>
          <w:b/>
          <w:bCs/>
          <w:i w:val="0"/>
          <w:szCs w:val="24"/>
        </w:rPr>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rPr>
          <w:rFonts w:ascii="Times New Roman" w:hAnsi="Times New Roman" w:cs="Times New Roman"/>
          <w:b/>
          <w:bCs/>
          <w:i w:val="0"/>
          <w:szCs w:val="24"/>
        </w:rPr>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both"/>
        <w:rPr>
          <w:iCs/>
          <w:sz w:val="24"/>
          <w:szCs w:val="24"/>
        </w:rPr>
      </w:pP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Pr>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TATIANE MARIA DA SILVA MORCH</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Ger. de Educação e Cultura e Ordenadora de Despesas</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Conforme Decreto nº 006/2021</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Contratante</w:t>
            </w:r>
          </w:p>
          <w:p>
            <w:pPr>
              <w:widowControl w:val="0"/>
              <w:tabs>
                <w:tab w:val="left" w:pos="5562"/>
              </w:tabs>
              <w:spacing w:before="0" w:after="0"/>
              <w:ind w:left="0" w:right="33" w:firstLine="0"/>
              <w:jc w:val="center"/>
              <w:rPr>
                <w:rFonts w:eastAsia="MS Mincho;ＭＳ 明朝"/>
                <w:b/>
                <w:iCs/>
                <w:sz w:val="22"/>
                <w:szCs w:val="22"/>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ind w:left="601" w:right="0" w:firstLine="0"/>
              <w:jc w:val="left"/>
              <w:rPr>
                <w:rFonts w:eastAsia="MS Mincho;ＭＳ 明朝"/>
                <w:b/>
                <w:iCs/>
                <w:sz w:val="22"/>
              </w:rPr>
            </w:pPr>
            <w:r>
              <w:rPr>
                <w:rFonts w:eastAsia="MS Mincho;ＭＳ 明朝"/>
                <w:b/>
                <w:iCs/>
                <w:kern w:val="0"/>
                <w:sz w:val="22"/>
              </w:rPr>
              <w:t>Nome:</w:t>
            </w:r>
          </w:p>
          <w:p>
            <w:pPr>
              <w:widowControl w:val="0"/>
              <w:spacing w:before="0" w:after="0"/>
              <w:ind w:left="601" w:right="0" w:firstLine="0"/>
              <w:jc w:val="left"/>
              <w:rPr>
                <w:rFonts w:eastAsia="MS Mincho;ＭＳ 明朝"/>
                <w:b/>
                <w:iCs/>
                <w:sz w:val="22"/>
              </w:rPr>
            </w:pPr>
            <w:r>
              <w:rPr>
                <w:rFonts w:eastAsia="MS Mincho;ＭＳ 明朝"/>
                <w:b/>
                <w:iCs/>
                <w:kern w:val="0"/>
                <w:sz w:val="22"/>
              </w:rPr>
              <w:t>CPF:</w:t>
            </w:r>
          </w:p>
        </w:tc>
      </w:tr>
      <w:tr>
        <w:tblPrEx>
          <w:tblCellMar>
            <w:top w:w="0" w:type="dxa"/>
            <w:left w:w="108" w:type="dxa"/>
            <w:bottom w:w="0" w:type="dxa"/>
            <w:right w:w="108" w:type="dxa"/>
          </w:tblCellMar>
        </w:tblPrEx>
        <w:tc>
          <w:tcPr>
            <w:tcW w:w="5778" w:type="dxa"/>
          </w:tcPr>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KARIN TAISE MATSUOCA</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Gerente de Saúde e Ordenadora de Despesas</w:t>
            </w:r>
          </w:p>
          <w:p>
            <w:pPr>
              <w:widowControl w:val="0"/>
              <w:tabs>
                <w:tab w:val="left" w:pos="5562"/>
              </w:tabs>
              <w:suppressAutoHyphens/>
              <w:overflowPunct w:val="0"/>
              <w:spacing w:before="0" w:after="0" w:line="276" w:lineRule="auto"/>
              <w:ind w:left="0" w:right="33" w:firstLine="0"/>
              <w:jc w:val="center"/>
              <w:rPr>
                <w:rFonts w:eastAsia="MS Mincho;ＭＳ 明朝"/>
                <w:b/>
                <w:sz w:val="22"/>
                <w:szCs w:val="22"/>
              </w:rPr>
            </w:pPr>
            <w:r>
              <w:rPr>
                <w:rFonts w:eastAsia="MS Mincho;ＭＳ 明朝"/>
                <w:b/>
                <w:kern w:val="0"/>
                <w:sz w:val="22"/>
                <w:szCs w:val="22"/>
              </w:rPr>
              <w:t>Conforme Decreto nº. 081/2022</w:t>
            </w:r>
          </w:p>
          <w:p>
            <w:pPr>
              <w:widowControl w:val="0"/>
              <w:tabs>
                <w:tab w:val="left" w:pos="5562"/>
              </w:tabs>
              <w:spacing w:before="0" w:after="0"/>
              <w:ind w:left="0" w:right="33" w:firstLine="0"/>
              <w:jc w:val="center"/>
              <w:rPr>
                <w:rFonts w:eastAsia="MS Mincho;ＭＳ 明朝"/>
                <w:b/>
                <w:sz w:val="22"/>
                <w:szCs w:val="22"/>
                <w:lang w:eastAsia="pt-BR"/>
              </w:rPr>
            </w:pPr>
            <w:r>
              <w:rPr>
                <w:rFonts w:eastAsia="MS Mincho;ＭＳ 明朝"/>
                <w:b/>
                <w:kern w:val="0"/>
                <w:sz w:val="22"/>
                <w:szCs w:val="22"/>
                <w:lang w:eastAsia="pt-BR"/>
              </w:rPr>
              <w:t>Contratante</w:t>
            </w:r>
          </w:p>
          <w:p>
            <w:pPr>
              <w:widowControl w:val="0"/>
              <w:tabs>
                <w:tab w:val="left" w:pos="5562"/>
              </w:tabs>
              <w:spacing w:before="0" w:after="0"/>
              <w:ind w:left="0" w:right="33" w:firstLine="0"/>
              <w:jc w:val="center"/>
              <w:rPr>
                <w:rFonts w:eastAsia="MS Mincho;ＭＳ 明朝"/>
                <w:b/>
                <w:sz w:val="22"/>
                <w:szCs w:val="22"/>
                <w:lang w:eastAsia="pt-BR"/>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ind w:left="601" w:right="0" w:firstLine="0"/>
              <w:jc w:val="left"/>
              <w:rPr>
                <w:rFonts w:eastAsia="MS Mincho;ＭＳ 明朝"/>
                <w:b/>
                <w:iCs/>
                <w:sz w:val="22"/>
              </w:rPr>
            </w:pPr>
            <w:r>
              <w:rPr>
                <w:rFonts w:eastAsia="MS Mincho;ＭＳ 明朝"/>
                <w:b/>
                <w:iCs/>
                <w:kern w:val="0"/>
                <w:sz w:val="22"/>
              </w:rPr>
              <w:t>Nome:</w:t>
            </w:r>
          </w:p>
          <w:p>
            <w:pPr>
              <w:widowControl w:val="0"/>
              <w:spacing w:before="0" w:after="0"/>
              <w:ind w:left="601" w:right="0" w:firstLine="0"/>
              <w:jc w:val="left"/>
              <w:rPr>
                <w:rFonts w:eastAsia="MS Mincho;ＭＳ 明朝"/>
                <w:b/>
                <w:iCs/>
                <w:sz w:val="22"/>
              </w:rPr>
            </w:pPr>
            <w:r>
              <w:rPr>
                <w:rFonts w:eastAsia="MS Mincho;ＭＳ 明朝"/>
                <w:b/>
                <w:iCs/>
                <w:kern w:val="0"/>
                <w:sz w:val="22"/>
              </w:rPr>
              <w:t>CPF:</w:t>
            </w:r>
          </w:p>
        </w:tc>
      </w:tr>
      <w:tr>
        <w:tblPrEx>
          <w:tblCellMar>
            <w:top w:w="0" w:type="dxa"/>
            <w:left w:w="108" w:type="dxa"/>
            <w:bottom w:w="0" w:type="dxa"/>
            <w:right w:w="108" w:type="dxa"/>
          </w:tblCellMar>
        </w:tblPrEx>
        <w:tc>
          <w:tcPr>
            <w:tcW w:w="5778" w:type="dxa"/>
          </w:tcPr>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r>
              <w:rPr>
                <w:rFonts w:eastAsia="MS Mincho;ＭＳ 明朝"/>
                <w:b/>
                <w:iCs/>
                <w:kern w:val="0"/>
                <w:sz w:val="22"/>
                <w:szCs w:val="22"/>
              </w:rPr>
              <w:t>LUIZ ALBERTO ÁVILA SILVA JUNIOR</w:t>
            </w:r>
          </w:p>
          <w:p>
            <w:pPr>
              <w:keepNext/>
              <w:widowControl w:val="0"/>
              <w:numPr>
                <w:ilvl w:val="0"/>
                <w:numId w:val="0"/>
              </w:numPr>
              <w:tabs>
                <w:tab w:val="left" w:pos="708"/>
                <w:tab w:val="left" w:pos="5562"/>
              </w:tabs>
              <w:spacing w:before="0" w:after="0"/>
              <w:ind w:left="0" w:right="33" w:firstLine="0"/>
              <w:jc w:val="center"/>
              <w:outlineLvl w:val="3"/>
              <w:rPr>
                <w:rFonts w:eastAsia="MS Mincho;ＭＳ 明朝"/>
                <w:b/>
                <w:iCs/>
                <w:sz w:val="22"/>
                <w:szCs w:val="22"/>
              </w:rPr>
            </w:pPr>
            <w:r>
              <w:rPr>
                <w:rFonts w:eastAsia="MS Mincho;ＭＳ 明朝"/>
                <w:b/>
                <w:iCs/>
                <w:kern w:val="0"/>
                <w:sz w:val="22"/>
                <w:szCs w:val="22"/>
              </w:rPr>
              <w:t>Gerente de Meio Ambiente e Ordenador de Despesas</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Conforme Decreto nº 013/2021</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Contratante</w:t>
            </w:r>
          </w:p>
          <w:p>
            <w:pPr>
              <w:widowControl w:val="0"/>
              <w:tabs>
                <w:tab w:val="left" w:pos="5562"/>
              </w:tabs>
              <w:spacing w:before="0" w:after="0"/>
              <w:ind w:left="0" w:right="33" w:firstLine="0"/>
              <w:jc w:val="center"/>
              <w:rPr>
                <w:rFonts w:eastAsia="MS Mincho;ＭＳ 明朝"/>
                <w:b/>
                <w:iCs/>
                <w:sz w:val="22"/>
                <w:szCs w:val="22"/>
              </w:rPr>
            </w:pP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ind w:left="601" w:right="0" w:firstLine="0"/>
              <w:jc w:val="left"/>
              <w:rPr>
                <w:rFonts w:eastAsia="MS Mincho;ＭＳ 明朝"/>
                <w:b/>
                <w:iCs/>
                <w:sz w:val="22"/>
              </w:rPr>
            </w:pPr>
            <w:r>
              <w:rPr>
                <w:rFonts w:eastAsia="MS Mincho;ＭＳ 明朝"/>
                <w:b/>
                <w:iCs/>
                <w:kern w:val="0"/>
                <w:sz w:val="22"/>
              </w:rPr>
              <w:t>Nome:</w:t>
            </w:r>
          </w:p>
          <w:p>
            <w:pPr>
              <w:widowControl w:val="0"/>
              <w:spacing w:before="0" w:after="0"/>
              <w:ind w:left="601" w:right="0" w:firstLine="0"/>
              <w:jc w:val="left"/>
              <w:rPr>
                <w:rFonts w:eastAsia="MS Mincho;ＭＳ 明朝"/>
                <w:b/>
                <w:iCs/>
                <w:sz w:val="22"/>
              </w:rPr>
            </w:pPr>
            <w:r>
              <w:rPr>
                <w:rFonts w:eastAsia="MS Mincho;ＭＳ 明朝"/>
                <w:b/>
                <w:iCs/>
                <w:kern w:val="0"/>
                <w:sz w:val="22"/>
              </w:rPr>
              <w:t>CPF:</w:t>
            </w:r>
          </w:p>
        </w:tc>
      </w:tr>
      <w:tr>
        <w:tblPrEx>
          <w:tblCellMar>
            <w:top w:w="0" w:type="dxa"/>
            <w:left w:w="108" w:type="dxa"/>
            <w:bottom w:w="0" w:type="dxa"/>
            <w:right w:w="108" w:type="dxa"/>
          </w:tblCellMar>
        </w:tblPrEx>
        <w:tc>
          <w:tcPr>
            <w:tcW w:w="5778" w:type="dxa"/>
          </w:tcPr>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LUCINEIA PULQUÉRIO GARCIA FRANCISCATTI</w:t>
            </w:r>
          </w:p>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Ger. de Assist. Social e Ord. De Despesas</w:t>
            </w:r>
          </w:p>
          <w:p>
            <w:pPr>
              <w:widowControl w:val="0"/>
              <w:tabs>
                <w:tab w:val="left" w:pos="5562"/>
              </w:tabs>
              <w:spacing w:before="0" w:after="0"/>
              <w:ind w:left="0" w:right="33" w:firstLine="0"/>
              <w:jc w:val="center"/>
              <w:rPr>
                <w:rFonts w:eastAsia="MS Mincho;ＭＳ 明朝"/>
                <w:b/>
                <w:iCs/>
                <w:sz w:val="22"/>
              </w:rPr>
            </w:pPr>
            <w:r>
              <w:rPr>
                <w:rFonts w:eastAsia="MS Mincho;ＭＳ 明朝"/>
                <w:b/>
                <w:iCs/>
                <w:kern w:val="0"/>
                <w:sz w:val="22"/>
              </w:rPr>
              <w:t>Conforme Decreto nº. 012/2021</w:t>
            </w:r>
          </w:p>
          <w:p>
            <w:pPr>
              <w:widowControl w:val="0"/>
              <w:tabs>
                <w:tab w:val="left" w:pos="5562"/>
              </w:tabs>
              <w:spacing w:before="0" w:after="0"/>
              <w:ind w:left="0" w:right="33" w:firstLine="0"/>
              <w:jc w:val="center"/>
              <w:rPr>
                <w:rFonts w:eastAsia="MS Mincho;ＭＳ 明朝"/>
                <w:b/>
                <w:iCs/>
                <w:sz w:val="22"/>
                <w:szCs w:val="22"/>
              </w:rPr>
            </w:pPr>
            <w:r>
              <w:rPr>
                <w:rFonts w:eastAsia="MS Mincho;ＭＳ 明朝"/>
                <w:b/>
                <w:iCs/>
                <w:kern w:val="0"/>
                <w:sz w:val="22"/>
                <w:szCs w:val="22"/>
              </w:rPr>
              <w:t>Contratante</w:t>
            </w:r>
          </w:p>
        </w:tc>
        <w:tc>
          <w:tcPr>
            <w:tcW w:w="3695" w:type="dxa"/>
          </w:tcPr>
          <w:p>
            <w:pPr>
              <w:widowControl w:val="0"/>
              <w:spacing w:before="0" w:after="0"/>
              <w:jc w:val="center"/>
              <w:rPr>
                <w:rFonts w:eastAsia="MS Mincho;ＭＳ 明朝"/>
                <w:b/>
                <w:iCs/>
                <w:sz w:val="22"/>
              </w:rPr>
            </w:pPr>
            <w:r>
              <w:rPr>
                <w:rFonts w:eastAsia="MS Mincho;ＭＳ 明朝"/>
                <w:b/>
                <w:iCs/>
                <w:kern w:val="0"/>
                <w:sz w:val="22"/>
              </w:rPr>
              <w:t>...............................................</w:t>
            </w:r>
          </w:p>
          <w:p>
            <w:pPr>
              <w:widowControl w:val="0"/>
              <w:spacing w:before="0" w:after="0"/>
              <w:ind w:left="601" w:right="0" w:firstLine="0"/>
              <w:jc w:val="left"/>
              <w:rPr>
                <w:rFonts w:eastAsia="MS Mincho;ＭＳ 明朝"/>
                <w:b/>
                <w:iCs/>
                <w:sz w:val="22"/>
              </w:rPr>
            </w:pPr>
            <w:r>
              <w:rPr>
                <w:rFonts w:eastAsia="MS Mincho;ＭＳ 明朝"/>
                <w:b/>
                <w:iCs/>
                <w:kern w:val="0"/>
                <w:sz w:val="22"/>
              </w:rPr>
              <w:t>Nome:</w:t>
            </w:r>
          </w:p>
          <w:p>
            <w:pPr>
              <w:widowControl w:val="0"/>
              <w:spacing w:before="0" w:after="0"/>
              <w:ind w:left="601" w:right="0" w:firstLine="0"/>
              <w:jc w:val="left"/>
              <w:rPr>
                <w:rFonts w:eastAsia="MS Mincho;ＭＳ 明朝"/>
                <w:b/>
                <w:iCs/>
                <w:sz w:val="22"/>
              </w:rPr>
            </w:pPr>
            <w:r>
              <w:rPr>
                <w:rFonts w:eastAsia="MS Mincho;ＭＳ 明朝"/>
                <w:b/>
                <w:iCs/>
                <w:kern w:val="0"/>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p>
    <w:p>
      <w:pPr>
        <w:jc w:val="center"/>
        <w:rPr>
          <w:b/>
          <w:bCs/>
          <w:sz w:val="24"/>
          <w:szCs w:val="24"/>
        </w:rPr>
      </w:pPr>
    </w:p>
    <w:p>
      <w:pPr>
        <w:jc w:val="center"/>
        <w:rPr>
          <w:rFonts w:ascii="Times New Roman" w:hAnsi="Times New Roman" w:cs="Times New Roman"/>
          <w:b/>
          <w:bCs/>
          <w:i w:val="0"/>
          <w:szCs w:val="24"/>
        </w:rPr>
      </w:pPr>
      <w:r>
        <w:rPr>
          <w:b/>
          <w:bCs/>
          <w:sz w:val="24"/>
          <w:szCs w:val="24"/>
        </w:rPr>
        <w:t>PREGÃO PRESENCIAL N°. 88/2022</w:t>
      </w:r>
    </w:p>
    <w:p>
      <w:pPr>
        <w:jc w:val="center"/>
        <w:rPr>
          <w:sz w:val="24"/>
          <w:szCs w:val="24"/>
        </w:rPr>
      </w:pPr>
    </w:p>
    <w:p>
      <w:pPr>
        <w:pStyle w:val="7"/>
        <w:numPr>
          <w:ilvl w:val="5"/>
          <w:numId w:val="1"/>
        </w:numPr>
        <w:tabs>
          <w:tab w:val="left" w:pos="3870"/>
          <w:tab w:val="center" w:pos="4868"/>
        </w:tabs>
        <w:jc w:val="left"/>
        <w:rPr>
          <w:rFonts w:ascii="Times New Roman" w:hAnsi="Times New Roman" w:cs="Times New Roman"/>
          <w:i w:val="0"/>
          <w:szCs w:val="24"/>
        </w:rPr>
      </w:pPr>
    </w:p>
    <w:p>
      <w:pPr>
        <w:pStyle w:val="7"/>
        <w:numPr>
          <w:ilvl w:val="5"/>
          <w:numId w:val="1"/>
        </w:numPr>
        <w:tabs>
          <w:tab w:val="left" w:pos="3870"/>
          <w:tab w:val="center" w:pos="4868"/>
        </w:tabs>
        <w:jc w:val="left"/>
        <w:rPr>
          <w:rFonts w:ascii="Times New Roman" w:hAnsi="Times New Roman" w:cs="Times New Roman"/>
          <w:i w:val="0"/>
          <w:szCs w:val="24"/>
        </w:rPr>
      </w:pPr>
    </w:p>
    <w:p>
      <w:pPr>
        <w:pStyle w:val="7"/>
        <w:numPr>
          <w:ilvl w:val="5"/>
          <w:numId w:val="1"/>
        </w:numPr>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rFonts w:ascii="Times New Roman" w:hAnsi="Times New Roman" w:cs="Times New Roman"/>
          <w:b/>
          <w:bCs/>
          <w:i w:val="0"/>
          <w:szCs w:val="24"/>
        </w:rPr>
      </w:pPr>
      <w:r>
        <w:rPr>
          <w:b/>
          <w:bCs/>
          <w:sz w:val="24"/>
          <w:szCs w:val="24"/>
        </w:rPr>
        <w:t>PREGÃO PRESENCIAL N°. 88/2022</w:t>
      </w:r>
    </w:p>
    <w:p>
      <w:pPr>
        <w:jc w:val="both"/>
        <w:rPr>
          <w:sz w:val="24"/>
          <w:szCs w:val="24"/>
        </w:rPr>
      </w:pPr>
    </w:p>
    <w:p>
      <w:pPr>
        <w:jc w:val="both"/>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numPr>
          <w:ilvl w:val="8"/>
          <w:numId w:val="1"/>
        </w:numPr>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both"/>
        <w:rPr>
          <w:b/>
          <w:bCs/>
          <w:sz w:val="24"/>
          <w:szCs w:val="24"/>
        </w:rPr>
      </w:pPr>
      <w:bookmarkStart w:id="0" w:name="_GoBack"/>
      <w:bookmarkEnd w:id="0"/>
    </w:p>
    <w:p>
      <w:pPr>
        <w:jc w:val="center"/>
        <w:rPr>
          <w:rFonts w:ascii="Times New Roman" w:hAnsi="Times New Roman" w:cs="Times New Roman"/>
          <w:b/>
          <w:bCs/>
          <w:i w:val="0"/>
          <w:szCs w:val="24"/>
        </w:rPr>
      </w:pPr>
      <w:r>
        <w:rPr>
          <w:b/>
          <w:bCs/>
          <w:sz w:val="24"/>
          <w:szCs w:val="24"/>
        </w:rPr>
        <w:t>PREGÃO PRESENCIAL N°. 88/2022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numPr>
          <w:ilvl w:val="8"/>
          <w:numId w:val="1"/>
        </w:numPr>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rFonts w:ascii="Times New Roman" w:hAnsi="Times New Roman" w:cs="Times New Roman"/>
          <w:b/>
          <w:bCs/>
          <w:i w:val="0"/>
          <w:szCs w:val="24"/>
        </w:rPr>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88</w:t>
      </w:r>
      <w:r>
        <w:rPr>
          <w:b/>
          <w:bCs/>
          <w:sz w:val="24"/>
          <w:szCs w:val="24"/>
        </w:rPr>
        <w:t>/2022</w:t>
      </w:r>
      <w:r>
        <w:rPr>
          <w:b/>
          <w:bCs/>
          <w:sz w:val="24"/>
          <w:szCs w:val="24"/>
          <w:lang w:val="pt-BR"/>
        </w:rPr>
        <w:t xml:space="preserve"> </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rFonts w:ascii="Times New Roman" w:hAnsi="Times New Roman" w:cs="Times New Roman"/>
          <w:b/>
          <w:bCs/>
          <w:i w:val="0"/>
          <w:szCs w:val="24"/>
        </w:rPr>
      </w:pPr>
      <w:r>
        <w:rPr>
          <w:b/>
          <w:bCs/>
          <w:sz w:val="24"/>
          <w:szCs w:val="24"/>
        </w:rPr>
        <w:t>PREGÃO PRESENCIAL N°. 88/2022</w:t>
      </w:r>
    </w:p>
    <w:p>
      <w:pPr>
        <w:jc w:val="both"/>
        <w:rPr>
          <w:sz w:val="24"/>
          <w:szCs w:val="24"/>
        </w:rPr>
      </w:pPr>
    </w:p>
    <w:p>
      <w:pPr>
        <w:jc w:val="both"/>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ind w:left="0" w:firstLine="0"/>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rPr>
          <w:rFonts w:ascii="Times New Roman" w:hAnsi="Times New Roman" w:cs="Times New Roman"/>
          <w:b/>
          <w:bCs/>
          <w:i w:val="0"/>
          <w:szCs w:val="24"/>
        </w:rPr>
      </w:pPr>
      <w:r>
        <w:rPr>
          <w:b/>
          <w:bCs/>
          <w:sz w:val="24"/>
          <w:szCs w:val="24"/>
        </w:rPr>
        <w:t>PREGÃO PRESENCIAL N°. 88/2022</w:t>
      </w:r>
    </w:p>
    <w:p>
      <w:pPr>
        <w:jc w:val="both"/>
        <w:rPr>
          <w:sz w:val="24"/>
          <w:szCs w:val="24"/>
        </w:rPr>
      </w:pPr>
    </w:p>
    <w:p>
      <w:pPr>
        <w:jc w:val="both"/>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keepNext/>
        <w:keepLines/>
        <w:widowControl w:val="0"/>
        <w:spacing w:before="20" w:after="0"/>
        <w:jc w:val="center"/>
        <w:rPr>
          <w:iCs/>
          <w:sz w:val="24"/>
          <w:szCs w:val="24"/>
        </w:rPr>
      </w:pPr>
    </w:p>
    <w:p>
      <w:pPr>
        <w:jc w:val="both"/>
        <w:rPr>
          <w:iCs/>
          <w:sz w:val="24"/>
          <w:szCs w:val="24"/>
        </w:rPr>
      </w:pPr>
    </w:p>
    <w:p>
      <w:pPr>
        <w:jc w:val="both"/>
        <w:rPr>
          <w:iCs/>
          <w:sz w:val="24"/>
          <w:szCs w:val="24"/>
        </w:rPr>
      </w:pPr>
      <w:r>
        <w:rPr>
          <w:iCs/>
          <w:sz w:val="24"/>
          <w:szCs w:val="24"/>
        </w:rPr>
        <w:t>DECLARAÇÃO DE CONHECIMENTO E ACEITAÇÃO DO TEOR DO EDITAL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rPr>
          <w:rFonts w:ascii="Times New Roman" w:hAnsi="Times New Roman" w:cs="Times New Roman"/>
          <w:b/>
          <w:bCs/>
          <w:i w:val="0"/>
          <w:szCs w:val="24"/>
        </w:rPr>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88/2022</w:t>
      </w:r>
      <w:r>
        <w:rPr>
          <w:b/>
          <w:iCs/>
          <w:sz w:val="26"/>
          <w:szCs w:val="24"/>
        </w:rPr>
        <w:t>.</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r>
        <w:rPr>
          <w:b/>
          <w:bCs/>
          <w:sz w:val="24"/>
          <w:szCs w:val="24"/>
          <w:lang w:val="pt-BR"/>
        </w:rPr>
        <w:t xml:space="preserve">PREGÃO </w:t>
      </w:r>
      <w:r>
        <w:rPr>
          <w:b/>
          <w:bCs/>
          <w:sz w:val="24"/>
          <w:szCs w:val="24"/>
        </w:rPr>
        <w:t>PRESENCIAL N°</w:t>
      </w:r>
      <w:r>
        <w:rPr>
          <w:sz w:val="24"/>
          <w:szCs w:val="24"/>
        </w:rPr>
        <w:t xml:space="preserve">.  </w:t>
      </w:r>
      <w:r>
        <w:rPr>
          <w:b/>
          <w:bCs/>
          <w:sz w:val="24"/>
          <w:szCs w:val="24"/>
        </w:rPr>
        <w:t>88/2022</w:t>
      </w:r>
    </w:p>
    <w:p>
      <w:pP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X</w:t>
      </w:r>
    </w:p>
    <w:p>
      <w:pPr>
        <w:rPr>
          <w:sz w:val="24"/>
          <w:szCs w:val="24"/>
        </w:rPr>
      </w:pPr>
    </w:p>
    <w:p>
      <w:pPr>
        <w:rPr>
          <w:sz w:val="24"/>
          <w:szCs w:val="24"/>
        </w:rPr>
      </w:pPr>
    </w:p>
    <w:p>
      <w:pPr>
        <w:rPr>
          <w:sz w:val="24"/>
          <w:szCs w:val="24"/>
        </w:rPr>
      </w:pPr>
      <w:r>
        <w:rPr>
          <w:sz w:val="24"/>
          <w:szCs w:val="24"/>
        </w:rPr>
        <w:t xml:space="preserve">FICHA DE CADASTRO DE REPRESENTANTE PARA PREENCHIMENTO DE ATA DE REGISTRO DE PREÇO OU CONTRATO. </w:t>
      </w:r>
    </w:p>
    <w:p>
      <w:pPr>
        <w:rPr>
          <w:sz w:val="24"/>
          <w:szCs w:val="24"/>
        </w:rPr>
      </w:pPr>
    </w:p>
    <w:p>
      <w:pPr>
        <w:rPr>
          <w:sz w:val="24"/>
          <w:szCs w:val="24"/>
        </w:rPr>
      </w:pPr>
    </w:p>
    <w:p>
      <w:pPr>
        <w:rPr>
          <w:sz w:val="24"/>
          <w:szCs w:val="24"/>
        </w:rPr>
      </w:pPr>
    </w:p>
    <w:p>
      <w:pPr>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w:t>
      </w:r>
    </w:p>
    <w:p>
      <w:pPr>
        <w:rPr>
          <w:sz w:val="24"/>
          <w:szCs w:val="24"/>
        </w:rPr>
      </w:pPr>
      <w:r>
        <w:rPr>
          <w:sz w:val="24"/>
          <w:szCs w:val="24"/>
        </w:rPr>
        <w:t>DADOS DO REPRESENTANTE QUE IRÁ ASSINAR O INSTRUMENTO DO CONTRATO: ATA DE REGISTRO DE PREÇO E/OU CONTRATO.</w:t>
      </w:r>
    </w:p>
    <w:p>
      <w:pPr>
        <w:rPr>
          <w:sz w:val="24"/>
          <w:szCs w:val="24"/>
        </w:rPr>
      </w:pPr>
    </w:p>
    <w:p>
      <w:pPr>
        <w:rPr>
          <w:sz w:val="24"/>
          <w:szCs w:val="24"/>
        </w:rPr>
      </w:pPr>
      <w:r>
        <w:rPr>
          <w:sz w:val="24"/>
          <w:szCs w:val="24"/>
        </w:rPr>
        <w:t>NOME:</w:t>
      </w:r>
    </w:p>
    <w:p>
      <w:pPr>
        <w:rPr>
          <w:sz w:val="24"/>
          <w:szCs w:val="24"/>
        </w:rPr>
      </w:pPr>
      <w:r>
        <w:rPr>
          <w:sz w:val="24"/>
          <w:szCs w:val="24"/>
        </w:rPr>
        <w:t>CPF Nº:</w:t>
      </w:r>
    </w:p>
    <w:p>
      <w:pPr>
        <w:rPr>
          <w:sz w:val="24"/>
          <w:szCs w:val="24"/>
        </w:rPr>
      </w:pPr>
      <w:r>
        <w:rPr>
          <w:sz w:val="24"/>
          <w:szCs w:val="24"/>
        </w:rPr>
        <w:t>RG Nº:</w:t>
      </w:r>
    </w:p>
    <w:p>
      <w:pPr>
        <w:rPr>
          <w:sz w:val="24"/>
          <w:szCs w:val="24"/>
        </w:rPr>
      </w:pPr>
      <w:r>
        <w:rPr>
          <w:sz w:val="24"/>
          <w:szCs w:val="24"/>
        </w:rPr>
        <w:t>ENDEREÇO COMPLETO.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ascii="Verdana" w:hAnsi="Verdana" w:cs="Verdana"/>
          <w:sz w:val="24"/>
          <w:szCs w:val="24"/>
        </w:rPr>
      </w:pPr>
    </w:p>
    <w:sectPr>
      <w:headerReference r:id="rId8" w:type="default"/>
      <w:footerReference r:id="rId9" w:type="default"/>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03" w:usb1="288F0000" w:usb2="00000006" w:usb3="00000000" w:csb0="00040001" w:csb1="00000000"/>
  </w:font>
  <w:font w:name="Wingdings">
    <w:panose1 w:val="05000000000000000000"/>
    <w:charset w:val="00"/>
    <w:family w:val="roman"/>
    <w:pitch w:val="default"/>
    <w:sig w:usb0="00000000" w:usb1="00000000" w:usb2="00000000" w:usb3="00000000" w:csb0="80000000" w:csb1="00000000"/>
  </w:font>
  <w:font w:name="Courier (W1);Segoe Print">
    <w:altName w:val="Courier"/>
    <w:panose1 w:val="00000000000000000000"/>
    <w:charset w:val="00"/>
    <w:family w:val="auto"/>
    <w:pitch w:val="default"/>
    <w:sig w:usb0="00000000" w:usb1="00000000" w:usb2="00000000" w:usb3="00000000" w:csb0="00000000" w:csb1="00000000"/>
  </w:font>
  <w:font w:name="Courier">
    <w:panose1 w:val="02060409020205020404"/>
    <w:charset w:val="00"/>
    <w:family w:val="auto"/>
    <w:pitch w:val="default"/>
    <w:sig w:usb0="00000000" w:usb1="00000000" w:usb2="00000000" w:usb3="00000000" w:csb0="00000000" w:csb1="00000000"/>
  </w:font>
  <w:font w:name="Liberation Sans">
    <w:panose1 w:val="020B0604020202020204"/>
    <w:charset w:val="00"/>
    <w:family w:val="swiss"/>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Arial Unicode MS">
    <w:altName w:val="Arial"/>
    <w:panose1 w:val="00000000000000000000"/>
    <w:charset w:val="00"/>
    <w:family w:val="auto"/>
    <w:pitch w:val="default"/>
    <w:sig w:usb0="00000000" w:usb1="00000000" w:usb2="00000000" w:usb3="00000000" w:csb0="00000000" w:csb1="00000000"/>
  </w:font>
  <w:font w:name="Garamond">
    <w:panose1 w:val="02020502050306020203"/>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roman"/>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w:rPr>
        <w:rFonts w:ascii="Garamond" w:hAnsi="Garamond" w:eastAsia="Times New Roman" w:cs="Garamond"/>
        <w:b/>
        <w:iCs/>
        <w:color w:val="0000FF"/>
        <w:sz w:val="20"/>
        <w:szCs w:val="20"/>
        <w:lang w:val="pt-BR" w:bidi="ar-SA"/>
      </w:rPr>
      <mc:AlternateContent>
        <mc:Choice Requires="wps">
          <w:drawing>
            <wp:anchor distT="0" distB="0" distL="0" distR="0" simplePos="0" relativeHeight="251659264" behindDoc="1" locked="0" layoutInCell="0" allowOverlap="1">
              <wp:simplePos x="0" y="0"/>
              <wp:positionH relativeFrom="column">
                <wp:posOffset>14605</wp:posOffset>
              </wp:positionH>
              <wp:positionV relativeFrom="paragraph">
                <wp:posOffset>-6350</wp:posOffset>
              </wp:positionV>
              <wp:extent cx="5760720" cy="635"/>
              <wp:effectExtent l="0" t="3175" r="635" b="3810"/>
              <wp:wrapNone/>
              <wp:docPr id="6" name="Conector Reto 3"/>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flip:y;margin-left:1.15pt;margin-top:-0.5pt;height:0.05pt;width:453.6pt;z-index:-251657216;mso-width-relative:page;mso-height-relative:page;" filled="f" stroked="t" coordsize="21600,21600" o:allowincell="f" o:gfxdata="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L/&#10;1NMAAAAGAQAADwAAAAAAAAABACAAAAAiAAAAZHJzL2Rvd25yZXYueG1sUEsBAhQAFAAAAAgAh07i&#10;QL8NQou1AQAAdAMAAA4AAAAAAAAAAQAgAAAAIgEAAGRycy9lMm9Eb2MueG1sUEsFBgAAAAAGAAYA&#10;WQEAAEk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mc:AlternateContent>
        <mc:Choice Requires="wps">
          <w:drawing>
            <wp:anchor distT="0" distB="0" distL="0" distR="0" simplePos="0" relativeHeight="251659264" behindDoc="1" locked="0" layoutInCell="0" allowOverlap="1">
              <wp:simplePos x="0" y="0"/>
              <wp:positionH relativeFrom="page">
                <wp:posOffset>3900170</wp:posOffset>
              </wp:positionH>
              <wp:positionV relativeFrom="paragraph">
                <wp:posOffset>220345</wp:posOffset>
              </wp:positionV>
              <wp:extent cx="149225" cy="179705"/>
              <wp:effectExtent l="0" t="0" r="0" b="0"/>
              <wp:wrapSquare wrapText="largest"/>
              <wp:docPr id="7" name="Quadro1"/>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0"/>
                          </w:pPr>
                          <w:r>
                            <w:rPr>
                              <w:rStyle w:val="206"/>
                              <w:sz w:val="16"/>
                            </w:rPr>
                            <w:fldChar w:fldCharType="begin"/>
                          </w:r>
                          <w:r>
                            <w:rPr>
                              <w:rStyle w:val="206"/>
                              <w:sz w:val="16"/>
                            </w:rPr>
                            <w:instrText xml:space="preserve"> PAGE </w:instrText>
                          </w:r>
                          <w:r>
                            <w:rPr>
                              <w:rStyle w:val="206"/>
                              <w:sz w:val="16"/>
                            </w:rPr>
                            <w:fldChar w:fldCharType="separate"/>
                          </w:r>
                          <w:r>
                            <w:rPr>
                              <w:rStyle w:val="206"/>
                              <w:sz w:val="16"/>
                            </w:rPr>
                            <w:t>25</w:t>
                          </w:r>
                          <w:r>
                            <w:rPr>
                              <w:rStyle w:val="206"/>
                              <w:sz w:val="16"/>
                            </w:rPr>
                            <w:fldChar w:fldCharType="end"/>
                          </w:r>
                        </w:p>
                      </w:txbxContent>
                    </wps:txbx>
                    <wps:bodyPr lIns="0" tIns="0" rIns="0" bIns="0" anchor="t">
                      <a:noAutofit/>
                    </wps:bodyPr>
                  </wps:wsp>
                </a:graphicData>
              </a:graphic>
            </wp:anchor>
          </w:drawing>
        </mc:Choice>
        <mc:Fallback>
          <w:pict>
            <v:rect id="Quadro1" o:spid="_x0000_s1026" o:spt="1" style="position:absolute;left:0pt;margin-left:307.1pt;margin-top:17.35pt;height:14.15pt;width:11.75pt;mso-position-horizontal-relative:page;mso-wrap-distance-bottom:0pt;mso-wrap-distance-left:0pt;mso-wrap-distance-right:0pt;mso-wrap-distance-top:0pt;z-index:-251657216;mso-width-relative:page;mso-height-relative:page;" filled="f" stroked="f" coordsize="21600,21600" o:allowincell="f" o:gfxdata="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GB&#10;v/bXAAAACQEAAA8AAAAAAAAAAQAgAAAAIgAAAGRycy9kb3ducmV2LnhtbFBLAQIUABQAAAAIAIdO&#10;4kDK+EujsgEAAIIDAAAOAAAAAAAAAAEAIAAAACYBAABkcnMvZTJvRG9jLnhtbFBLBQYAAAAABgAG&#10;AFkBAABKBQAAAAA=&#10;">
              <v:fill on="f" focussize="0,0"/>
              <v:stroke on="f" weight="0pt"/>
              <v:imagedata o:title=""/>
              <o:lock v:ext="edit" aspectratio="f"/>
              <v:textbox inset="0mm,0mm,0mm,0mm">
                <w:txbxContent>
                  <w:p>
                    <w:pPr>
                      <w:pStyle w:val="20"/>
                    </w:pPr>
                    <w:r>
                      <w:rPr>
                        <w:rStyle w:val="206"/>
                        <w:sz w:val="16"/>
                      </w:rPr>
                      <w:fldChar w:fldCharType="begin"/>
                    </w:r>
                    <w:r>
                      <w:rPr>
                        <w:rStyle w:val="206"/>
                        <w:sz w:val="16"/>
                      </w:rPr>
                      <w:instrText xml:space="preserve"> PAGE </w:instrText>
                    </w:r>
                    <w:r>
                      <w:rPr>
                        <w:rStyle w:val="206"/>
                        <w:sz w:val="16"/>
                      </w:rPr>
                      <w:fldChar w:fldCharType="separate"/>
                    </w:r>
                    <w:r>
                      <w:rPr>
                        <w:rStyle w:val="206"/>
                        <w:sz w:val="16"/>
                      </w:rPr>
                      <w:t>25</w:t>
                    </w:r>
                    <w:r>
                      <w:rPr>
                        <w:rStyle w:val="206"/>
                        <w:sz w:val="16"/>
                      </w:rPr>
                      <w:fldChar w:fldCharType="end"/>
                    </w:r>
                  </w:p>
                </w:txbxContent>
              </v:textbox>
              <w10:wrap type="square" side="largest"/>
            </v:rect>
          </w:pict>
        </mc:Fallback>
      </mc:AlternateContent>
    </w:r>
    <w:r>
      <w:rPr>
        <w:rFonts w:ascii="Garamond" w:hAnsi="Garamond" w:cs="Garamond"/>
        <w:b/>
        <w:iCs/>
        <w:color w:val="0000FF"/>
        <w:sz w:val="20"/>
      </w:rPr>
      <w:t xml:space="preserve">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w:rPr>
        <w:rFonts w:ascii="Garamond" w:hAnsi="Garamond" w:eastAsia="Times New Roman" w:cs="Garamond"/>
        <w:b/>
        <w:iCs/>
        <w:color w:val="0000FF"/>
        <w:sz w:val="20"/>
        <w:szCs w:val="20"/>
        <w:lang w:val="pt-BR" w:bidi="ar-SA"/>
      </w:rPr>
      <mc:AlternateContent>
        <mc:Choice Requires="wps">
          <w:drawing>
            <wp:anchor distT="0" distB="0" distL="0" distR="0" simplePos="0" relativeHeight="251659264" behindDoc="1" locked="0" layoutInCell="0" allowOverlap="1">
              <wp:simplePos x="0" y="0"/>
              <wp:positionH relativeFrom="column">
                <wp:posOffset>14605</wp:posOffset>
              </wp:positionH>
              <wp:positionV relativeFrom="paragraph">
                <wp:posOffset>-6350</wp:posOffset>
              </wp:positionV>
              <wp:extent cx="5760720" cy="635"/>
              <wp:effectExtent l="0" t="3175" r="635" b="3810"/>
              <wp:wrapNone/>
              <wp:docPr id="11" name="Conector Reto 4"/>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4" o:spid="_x0000_s1026" o:spt="20" style="position:absolute;left:0pt;flip:y;margin-left:1.15pt;margin-top:-0.5pt;height:0.05pt;width:453.6pt;z-index:-251657216;mso-width-relative:page;mso-height-relative:page;" filled="f" stroked="t" coordsize="21600,21600" o:allowincell="f" o:gfxdata="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L/&#10;1NMAAAAGAQAADwAAAAAAAAABACAAAAAiAAAAZHJzL2Rvd25yZXYueG1sUEsBAhQAFAAAAAgAh07i&#10;QIwdAq+1AQAAdQMAAA4AAAAAAAAAAQAgAAAAIgEAAGRycy9lMm9Eb2MueG1sUEsFBgAAAAAGAAYA&#10;WQEAAEk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mc:AlternateContent>
        <mc:Choice Requires="wps">
          <w:drawing>
            <wp:anchor distT="0" distB="0" distL="0" distR="0" simplePos="0" relativeHeight="251659264" behindDoc="1" locked="0" layoutInCell="0" allowOverlap="1">
              <wp:simplePos x="0" y="0"/>
              <wp:positionH relativeFrom="page">
                <wp:posOffset>3900170</wp:posOffset>
              </wp:positionH>
              <wp:positionV relativeFrom="paragraph">
                <wp:posOffset>220345</wp:posOffset>
              </wp:positionV>
              <wp:extent cx="149225" cy="179705"/>
              <wp:effectExtent l="0" t="0" r="0" b="0"/>
              <wp:wrapSquare wrapText="largest"/>
              <wp:docPr id="12" name="Quadro 1"/>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0"/>
                          </w:pPr>
                          <w:r>
                            <w:rPr>
                              <w:rStyle w:val="206"/>
                              <w:sz w:val="16"/>
                            </w:rPr>
                            <w:fldChar w:fldCharType="begin"/>
                          </w:r>
                          <w:r>
                            <w:rPr>
                              <w:rStyle w:val="206"/>
                              <w:sz w:val="16"/>
                            </w:rPr>
                            <w:instrText xml:space="preserve"> PAGE </w:instrText>
                          </w:r>
                          <w:r>
                            <w:rPr>
                              <w:rStyle w:val="206"/>
                              <w:sz w:val="16"/>
                            </w:rPr>
                            <w:fldChar w:fldCharType="separate"/>
                          </w:r>
                          <w:r>
                            <w:rPr>
                              <w:rStyle w:val="206"/>
                              <w:sz w:val="16"/>
                            </w:rPr>
                            <w:t>29</w:t>
                          </w:r>
                          <w:r>
                            <w:rPr>
                              <w:rStyle w:val="206"/>
                              <w:sz w:val="16"/>
                            </w:rPr>
                            <w:fldChar w:fldCharType="end"/>
                          </w:r>
                        </w:p>
                      </w:txbxContent>
                    </wps:txbx>
                    <wps:bodyPr lIns="0" tIns="0" rIns="0" bIns="0" anchor="t">
                      <a:noAutofit/>
                    </wps:bodyPr>
                  </wps:wsp>
                </a:graphicData>
              </a:graphic>
            </wp:anchor>
          </w:drawing>
        </mc:Choice>
        <mc:Fallback>
          <w:pict>
            <v:rect id="Quadro 1" o:spid="_x0000_s1026" o:spt="1" style="position:absolute;left:0pt;margin-left:307.1pt;margin-top:17.35pt;height:14.15pt;width:11.75pt;mso-position-horizontal-relative:page;mso-wrap-distance-bottom:0pt;mso-wrap-distance-left:0pt;mso-wrap-distance-right:0pt;mso-wrap-distance-top:0pt;z-index:-251657216;mso-width-relative:page;mso-height-relative:page;" filled="f" stroked="f" coordsize="21600,21600" o:allowincell="f" o:gfxdata="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gb/21wAAAAkBAAAPAAAAAAAAAAEAIAAAACIAAABkcnMvZG93bnJldi54bWxQSwECFAAUAAAACACH&#10;TuJAudpJYrMBAACEAwAADgAAAAAAAAABACAAAAAmAQAAZHJzL2Uyb0RvYy54bWxQSwUGAAAAAAYA&#10;BgBZAQAASwUAAAAA&#10;">
              <v:fill on="f" focussize="0,0"/>
              <v:stroke on="f" weight="0pt"/>
              <v:imagedata o:title=""/>
              <o:lock v:ext="edit" aspectratio="f"/>
              <v:textbox inset="0mm,0mm,0mm,0mm">
                <w:txbxContent>
                  <w:p>
                    <w:pPr>
                      <w:pStyle w:val="20"/>
                    </w:pPr>
                    <w:r>
                      <w:rPr>
                        <w:rStyle w:val="206"/>
                        <w:sz w:val="16"/>
                      </w:rPr>
                      <w:fldChar w:fldCharType="begin"/>
                    </w:r>
                    <w:r>
                      <w:rPr>
                        <w:rStyle w:val="206"/>
                        <w:sz w:val="16"/>
                      </w:rPr>
                      <w:instrText xml:space="preserve"> PAGE </w:instrText>
                    </w:r>
                    <w:r>
                      <w:rPr>
                        <w:rStyle w:val="206"/>
                        <w:sz w:val="16"/>
                      </w:rPr>
                      <w:fldChar w:fldCharType="separate"/>
                    </w:r>
                    <w:r>
                      <w:rPr>
                        <w:rStyle w:val="206"/>
                        <w:sz w:val="16"/>
                      </w:rPr>
                      <w:t>29</w:t>
                    </w:r>
                    <w:r>
                      <w:rPr>
                        <w:rStyle w:val="206"/>
                        <w:sz w:val="16"/>
                      </w:rPr>
                      <w:fldChar w:fldCharType="end"/>
                    </w:r>
                  </w:p>
                </w:txbxContent>
              </v:textbox>
              <w10:wrap type="square" side="largest"/>
            </v:rect>
          </w:pict>
        </mc:Fallback>
      </mc:AlternateContent>
    </w:r>
    <w:r>
      <w:rPr>
        <w:rFonts w:ascii="Garamond" w:hAnsi="Garamond" w:cs="Garamond"/>
        <w:b/>
        <w:iCs/>
        <w:color w:val="0000FF"/>
        <w:sz w:val="20"/>
      </w:rPr>
      <w:t xml:space="preserve"> – Telefax (0**67) 3409-1500 – Cep 79950-000 – e-mail: pregaonavirai@gmail.com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w:rPr>
        <w:rFonts w:ascii="Garamond" w:hAnsi="Garamond" w:eastAsia="Times New Roman" w:cs="Garamond"/>
        <w:b/>
        <w:iCs/>
        <w:color w:val="0000FF"/>
        <w:sz w:val="20"/>
        <w:szCs w:val="20"/>
        <w:lang w:val="pt-BR" w:bidi="ar-SA"/>
      </w:rPr>
      <mc:AlternateContent>
        <mc:Choice Requires="wps">
          <w:drawing>
            <wp:anchor distT="0" distB="0" distL="0" distR="0" simplePos="0" relativeHeight="251659264" behindDoc="1" locked="0" layoutInCell="0" allowOverlap="1">
              <wp:simplePos x="0" y="0"/>
              <wp:positionH relativeFrom="column">
                <wp:posOffset>14605</wp:posOffset>
              </wp:positionH>
              <wp:positionV relativeFrom="paragraph">
                <wp:posOffset>-6350</wp:posOffset>
              </wp:positionV>
              <wp:extent cx="5760720" cy="635"/>
              <wp:effectExtent l="0" t="3175" r="635" b="3810"/>
              <wp:wrapNone/>
              <wp:docPr id="16" name="Conector Reto 6"/>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6" o:spid="_x0000_s1026" o:spt="20" style="position:absolute;left:0pt;flip:y;margin-left:1.15pt;margin-top:-0.5pt;height:0.05pt;width:453.6pt;z-index:-251657216;mso-width-relative:page;mso-height-relative:page;" filled="f" stroked="t" coordsize="21600,21600" o:allowincell="f" o:gfxdata="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gv/U&#10;0wAAAAYBAAAPAAAAAAAAAAEAIAAAACIAAABkcnMvZG93bnJldi54bWxQSwECFAAUAAAACACHTuJA&#10;MbwkPbQBAAB1AwAADgAAAAAAAAABACAAAAAiAQAAZHJzL2Uyb0RvYy54bWxQSwUGAAAAAAYABgBZ&#10;AQAASAU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mc:AlternateContent>
        <mc:Choice Requires="wps">
          <w:drawing>
            <wp:anchor distT="0" distB="0" distL="0" distR="0" simplePos="0" relativeHeight="251659264" behindDoc="1" locked="0" layoutInCell="0" allowOverlap="1">
              <wp:simplePos x="0" y="0"/>
              <wp:positionH relativeFrom="page">
                <wp:posOffset>3900170</wp:posOffset>
              </wp:positionH>
              <wp:positionV relativeFrom="paragraph">
                <wp:posOffset>220345</wp:posOffset>
              </wp:positionV>
              <wp:extent cx="149225" cy="179705"/>
              <wp:effectExtent l="0" t="0" r="0" b="0"/>
              <wp:wrapSquare wrapText="largest"/>
              <wp:docPr id="17" name="Quadro 2"/>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0"/>
                          </w:pPr>
                          <w:r>
                            <w:rPr>
                              <w:rStyle w:val="206"/>
                              <w:sz w:val="16"/>
                            </w:rPr>
                            <w:fldChar w:fldCharType="begin"/>
                          </w:r>
                          <w:r>
                            <w:rPr>
                              <w:rStyle w:val="206"/>
                              <w:sz w:val="16"/>
                            </w:rPr>
                            <w:instrText xml:space="preserve"> PAGE </w:instrText>
                          </w:r>
                          <w:r>
                            <w:rPr>
                              <w:rStyle w:val="206"/>
                              <w:sz w:val="16"/>
                            </w:rPr>
                            <w:fldChar w:fldCharType="separate"/>
                          </w:r>
                          <w:r>
                            <w:rPr>
                              <w:rStyle w:val="206"/>
                              <w:sz w:val="16"/>
                            </w:rPr>
                            <w:t>50</w:t>
                          </w:r>
                          <w:r>
                            <w:rPr>
                              <w:rStyle w:val="206"/>
                              <w:sz w:val="16"/>
                            </w:rPr>
                            <w:fldChar w:fldCharType="end"/>
                          </w:r>
                        </w:p>
                      </w:txbxContent>
                    </wps:txbx>
                    <wps:bodyPr lIns="0" tIns="0" rIns="0" bIns="0" anchor="t">
                      <a:noAutofit/>
                    </wps:bodyPr>
                  </wps:wsp>
                </a:graphicData>
              </a:graphic>
            </wp:anchor>
          </w:drawing>
        </mc:Choice>
        <mc:Fallback>
          <w:pict>
            <v:rect id="Quadro 2" o:spid="_x0000_s1026" o:spt="1" style="position:absolute;left:0pt;margin-left:307.1pt;margin-top:17.35pt;height:14.15pt;width:11.75pt;mso-position-horizontal-relative:page;mso-wrap-distance-bottom:0pt;mso-wrap-distance-left:0pt;mso-wrap-distance-right:0pt;mso-wrap-distance-top:0pt;z-index:-251657216;mso-width-relative:page;mso-height-relative:page;" filled="f" stroked="f" coordsize="21600,21600" o:allowincell="f" o:gfxdata="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gb/21wAAAAkBAAAPAAAAAAAAAAEAIAAAACIAAABkcnMvZG93bnJldi54bWxQSwECFAAUAAAACACH&#10;TuJAnWMt8LMBAACEAwAADgAAAAAAAAABACAAAAAmAQAAZHJzL2Uyb0RvYy54bWxQSwUGAAAAAAYA&#10;BgBZAQAASwUAAAAA&#10;">
              <v:fill on="f" focussize="0,0"/>
              <v:stroke on="f" weight="0pt"/>
              <v:imagedata o:title=""/>
              <o:lock v:ext="edit" aspectratio="f"/>
              <v:textbox inset="0mm,0mm,0mm,0mm">
                <w:txbxContent>
                  <w:p>
                    <w:pPr>
                      <w:pStyle w:val="20"/>
                    </w:pPr>
                    <w:r>
                      <w:rPr>
                        <w:rStyle w:val="206"/>
                        <w:sz w:val="16"/>
                      </w:rPr>
                      <w:fldChar w:fldCharType="begin"/>
                    </w:r>
                    <w:r>
                      <w:rPr>
                        <w:rStyle w:val="206"/>
                        <w:sz w:val="16"/>
                      </w:rPr>
                      <w:instrText xml:space="preserve"> PAGE </w:instrText>
                    </w:r>
                    <w:r>
                      <w:rPr>
                        <w:rStyle w:val="206"/>
                        <w:sz w:val="16"/>
                      </w:rPr>
                      <w:fldChar w:fldCharType="separate"/>
                    </w:r>
                    <w:r>
                      <w:rPr>
                        <w:rStyle w:val="206"/>
                        <w:sz w:val="16"/>
                      </w:rPr>
                      <w:t>50</w:t>
                    </w:r>
                    <w:r>
                      <w:rPr>
                        <w:rStyle w:val="206"/>
                        <w:sz w:val="16"/>
                      </w:rPr>
                      <w:fldChar w:fldCharType="end"/>
                    </w:r>
                  </w:p>
                </w:txbxContent>
              </v:textbox>
              <w10:wrap type="square" side="largest"/>
            </v:rect>
          </w:pict>
        </mc:Fallback>
      </mc:AlternateContent>
    </w:r>
    <w:r>
      <w:rPr>
        <w:rFonts w:ascii="Garamond" w:hAnsi="Garamond" w:cs="Garamond"/>
        <w:b/>
        <w:iCs/>
        <w:color w:val="0000FF"/>
        <w:sz w:val="20"/>
      </w:rPr>
      <w:t xml:space="preserve">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ascii="Garamond" w:hAnsi="Garamond" w:cs="Garamond"/>
        <w:b/>
        <w:bCs/>
        <w:sz w:val="26"/>
        <w:szCs w:val="26"/>
      </w:rPr>
    </w:pPr>
    <w:r>
      <w:drawing>
        <wp:anchor distT="0" distB="0" distL="114935" distR="114935"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ascii="Garamond" w:hAnsi="Garamond" w:cs="Garamond"/>
        <w:b/>
        <w:bCs/>
        <w:sz w:val="26"/>
        <w:szCs w:val="26"/>
      </w:rPr>
      <w:t>PREFEITURA MUNICIPAL DE NAVIRAÍ</w:t>
    </w:r>
  </w:p>
  <w:p>
    <w:pPr>
      <w:pStyle w:val="19"/>
      <w:ind w:left="0" w:right="-241" w:firstLine="0"/>
      <w:jc w:val="center"/>
      <w:rPr>
        <w:rFonts w:ascii="Garamond" w:hAnsi="Garamond" w:cs="Garamond"/>
        <w:b/>
        <w:bCs/>
        <w:sz w:val="26"/>
        <w:szCs w:val="26"/>
      </w:rPr>
    </w:pPr>
    <w:r>
      <w:rPr>
        <w:rFonts w:ascii="Garamond" w:hAnsi="Garamond" w:cs="Garamond"/>
        <w:b/>
        <w:bCs/>
        <w:sz w:val="26"/>
        <w:szCs w:val="26"/>
      </w:rPr>
      <w:t>ESTADO DE MATO GROSSO DO SUL</w:t>
    </w:r>
  </w:p>
  <w:p>
    <w:pPr>
      <w:pStyle w:val="19"/>
      <w:ind w:left="0" w:right="-241" w:firstLine="0"/>
      <w:jc w:val="center"/>
      <w:rPr>
        <w:rFonts w:ascii="Garamond" w:hAnsi="Garamond" w:cs="Garamond"/>
        <w:b/>
        <w:bCs/>
        <w:sz w:val="26"/>
        <w:szCs w:val="26"/>
      </w:rPr>
    </w:pPr>
    <w:r>
      <w:rPr>
        <w:rFonts w:ascii="Garamond" w:hAnsi="Garamond" w:cs="Garamond"/>
        <w:b/>
        <w:bCs/>
        <w:sz w:val="26"/>
        <w:szCs w:val="26"/>
      </w:rPr>
      <w:t>GERÊNCIA DE FINANÇAS</w:t>
    </w:r>
  </w:p>
  <w:p>
    <w:pPr>
      <w:pStyle w:val="19"/>
      <w:ind w:left="0" w:right="-241" w:firstLine="0"/>
      <w:jc w:val="center"/>
      <w:rPr>
        <w:rFonts w:cs="David"/>
      </w:rPr>
    </w:pPr>
    <w:r>
      <mc:AlternateContent>
        <mc:Choice Requires="wps">
          <w:drawing>
            <wp:anchor distT="0" distB="0" distL="0" distR="0" simplePos="0" relativeHeight="251659264" behindDoc="1" locked="0" layoutInCell="0" allowOverlap="1">
              <wp:simplePos x="0" y="0"/>
              <wp:positionH relativeFrom="column">
                <wp:posOffset>-1143635</wp:posOffset>
              </wp:positionH>
              <wp:positionV relativeFrom="paragraph">
                <wp:posOffset>201930</wp:posOffset>
              </wp:positionV>
              <wp:extent cx="7560945" cy="1270"/>
              <wp:effectExtent l="635" t="6350" r="0" b="6985"/>
              <wp:wrapNone/>
              <wp:docPr id="5" name="Conector Reto 2"/>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2" o:spid="_x0000_s1026" o:spt="20" style="position:absolute;left:0pt;margin-left:-90.05pt;margin-top:15.9pt;height:0.1pt;width:595.35pt;z-index:-251657216;mso-width-relative:page;mso-height-relative:page;" filled="f" stroked="t" coordsize="21600,21600" o:allowincell="f"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zuSZ0a8BAABsAwAADgAAAAAAAAABACAAAAAnAQAAZHJzL2Uyb0RvYy54bWxQSwUGAAAAAAYABgBZ&#10;AQAASAUAAAAA&#10;">
              <v:fill on="f" focussize="0,0"/>
              <v:stroke weight="0.992125984251969pt" color="#008000" joinstyle="miter"/>
              <v:imagedata o:title=""/>
              <o:lock v:ext="edit" aspectratio="f"/>
            </v:line>
          </w:pict>
        </mc:Fallback>
      </mc:AlternateContent>
    </w:r>
    <w:r>
      <w:rPr>
        <w:rFonts w:cs="David"/>
      </w:rPr>
      <w:t>CNPJ 03.155.934/0001-90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ascii="Garamond" w:hAnsi="Garamond" w:cs="Garamond"/>
        <w:b/>
        <w:bCs/>
        <w:sz w:val="26"/>
        <w:szCs w:val="26"/>
      </w:rPr>
    </w:pPr>
    <w:r>
      <w:drawing>
        <wp:anchor distT="0" distB="0" distL="114935" distR="114935"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ascii="Garamond" w:hAnsi="Garamond" w:cs="Garamond"/>
        <w:b/>
        <w:bCs/>
        <w:sz w:val="26"/>
        <w:szCs w:val="26"/>
      </w:rPr>
      <w:t>PREFEITURA MUNICIPAL DE NAVIRAÍ</w:t>
    </w:r>
  </w:p>
  <w:p>
    <w:pPr>
      <w:pStyle w:val="19"/>
      <w:ind w:left="0" w:right="-241" w:firstLine="0"/>
      <w:jc w:val="center"/>
      <w:rPr>
        <w:rFonts w:ascii="Garamond" w:hAnsi="Garamond" w:cs="Garamond"/>
        <w:b/>
        <w:bCs/>
        <w:sz w:val="26"/>
        <w:szCs w:val="26"/>
      </w:rPr>
    </w:pPr>
    <w:r>
      <w:rPr>
        <w:rFonts w:ascii="Garamond" w:hAnsi="Garamond" w:cs="Garamond"/>
        <w:b/>
        <w:bCs/>
        <w:sz w:val="26"/>
        <w:szCs w:val="26"/>
      </w:rPr>
      <w:t>ESTADO DE MATO GROSSO DO SUL</w:t>
    </w:r>
  </w:p>
  <w:p>
    <w:pPr>
      <w:pStyle w:val="19"/>
      <w:ind w:left="0" w:right="-241" w:firstLine="0"/>
      <w:jc w:val="center"/>
      <w:rPr>
        <w:rFonts w:ascii="Garamond" w:hAnsi="Garamond" w:cs="Garamond"/>
        <w:b/>
        <w:bCs/>
        <w:sz w:val="26"/>
        <w:szCs w:val="26"/>
      </w:rPr>
    </w:pPr>
    <w:r>
      <w:rPr>
        <w:rFonts w:ascii="Garamond" w:hAnsi="Garamond" w:cs="Garamond"/>
        <w:b/>
        <w:bCs/>
        <w:sz w:val="26"/>
        <w:szCs w:val="26"/>
      </w:rPr>
      <w:t>GERÊNCIA DE FINANÇAS</w:t>
    </w:r>
  </w:p>
  <w:p>
    <w:pPr>
      <w:pStyle w:val="19"/>
      <w:ind w:left="0" w:right="-241" w:firstLine="0"/>
      <w:jc w:val="center"/>
      <w:rPr>
        <w:rFonts w:cs="David"/>
      </w:rPr>
    </w:pPr>
    <w:r>
      <mc:AlternateContent>
        <mc:Choice Requires="wps">
          <w:drawing>
            <wp:anchor distT="0" distB="0" distL="0" distR="0" simplePos="0" relativeHeight="251659264" behindDoc="1" locked="0" layoutInCell="0" allowOverlap="1">
              <wp:simplePos x="0" y="0"/>
              <wp:positionH relativeFrom="column">
                <wp:posOffset>-1143635</wp:posOffset>
              </wp:positionH>
              <wp:positionV relativeFrom="paragraph">
                <wp:posOffset>201930</wp:posOffset>
              </wp:positionV>
              <wp:extent cx="7560945" cy="1270"/>
              <wp:effectExtent l="635" t="6350" r="0" b="6985"/>
              <wp:wrapNone/>
              <wp:docPr id="10" name="Conector Reto 1"/>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1" o:spid="_x0000_s1026" o:spt="20" style="position:absolute;left:0pt;margin-left:-90.05pt;margin-top:15.9pt;height:0.1pt;width:595.35pt;z-index:-251657216;mso-width-relative:page;mso-height-relative:page;" filled="f" stroked="t" coordsize="21600,21600" o:allowincell="f"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DtXpja8BAABtAwAADgAAAAAAAAABACAAAAAnAQAAZHJzL2Uyb0RvYy54bWxQSwUGAAAAAAYABgBZ&#10;AQAASAUAAAAA&#10;">
              <v:fill on="f" focussize="0,0"/>
              <v:stroke weight="0.992125984251969pt" color="#008000" joinstyle="miter"/>
              <v:imagedata o:title=""/>
              <o:lock v:ext="edit" aspectratio="f"/>
            </v:line>
          </w:pict>
        </mc:Fallback>
      </mc:AlternateContent>
    </w:r>
    <w:r>
      <w:rPr>
        <w:rFonts w:cs="David"/>
      </w:rPr>
      <w:t>CNPJ 03.155.934/0001-90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ascii="Garamond" w:hAnsi="Garamond" w:cs="Garamond"/>
        <w:b/>
        <w:bCs/>
        <w:sz w:val="26"/>
        <w:szCs w:val="26"/>
      </w:rPr>
    </w:pPr>
    <w:r>
      <w:drawing>
        <wp:anchor distT="0" distB="0" distL="114935" distR="114935"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ascii="Garamond" w:hAnsi="Garamond" w:cs="Garamond"/>
        <w:b/>
        <w:bCs/>
        <w:sz w:val="26"/>
        <w:szCs w:val="26"/>
      </w:rPr>
      <w:t>PREFEITURA MUNICIPAL DE NAVIRAÍ</w:t>
    </w:r>
  </w:p>
  <w:p>
    <w:pPr>
      <w:pStyle w:val="19"/>
      <w:ind w:left="0" w:right="-241" w:firstLine="0"/>
      <w:jc w:val="center"/>
      <w:rPr>
        <w:rFonts w:ascii="Garamond" w:hAnsi="Garamond" w:cs="Garamond"/>
        <w:b/>
        <w:bCs/>
        <w:sz w:val="26"/>
        <w:szCs w:val="26"/>
      </w:rPr>
    </w:pPr>
    <w:r>
      <w:rPr>
        <w:rFonts w:ascii="Garamond" w:hAnsi="Garamond" w:cs="Garamond"/>
        <w:b/>
        <w:bCs/>
        <w:sz w:val="26"/>
        <w:szCs w:val="26"/>
      </w:rPr>
      <w:t>ESTADO DE MATO GROSSO DO SUL</w:t>
    </w:r>
  </w:p>
  <w:p>
    <w:pPr>
      <w:pStyle w:val="19"/>
      <w:ind w:left="0" w:right="-241" w:firstLine="0"/>
      <w:jc w:val="center"/>
      <w:rPr>
        <w:rFonts w:ascii="Garamond" w:hAnsi="Garamond" w:cs="Garamond"/>
        <w:b/>
        <w:bCs/>
        <w:sz w:val="26"/>
        <w:szCs w:val="26"/>
      </w:rPr>
    </w:pPr>
    <w:r>
      <w:rPr>
        <w:rFonts w:ascii="Garamond" w:hAnsi="Garamond" w:cs="Garamond"/>
        <w:b/>
        <w:bCs/>
        <w:sz w:val="26"/>
        <w:szCs w:val="26"/>
      </w:rPr>
      <w:t>GERÊNCIA DE FINANÇAS</w:t>
    </w:r>
  </w:p>
  <w:p>
    <w:pPr>
      <w:pStyle w:val="19"/>
      <w:ind w:left="0" w:right="-241" w:firstLine="0"/>
      <w:jc w:val="center"/>
      <w:rPr>
        <w:rFonts w:cs="David"/>
      </w:rPr>
    </w:pPr>
    <w:r>
      <mc:AlternateContent>
        <mc:Choice Requires="wps">
          <w:drawing>
            <wp:anchor distT="0" distB="0" distL="0" distR="0" simplePos="0" relativeHeight="251659264" behindDoc="1" locked="0" layoutInCell="0" allowOverlap="1">
              <wp:simplePos x="0" y="0"/>
              <wp:positionH relativeFrom="column">
                <wp:posOffset>-1143635</wp:posOffset>
              </wp:positionH>
              <wp:positionV relativeFrom="paragraph">
                <wp:posOffset>201930</wp:posOffset>
              </wp:positionV>
              <wp:extent cx="7560945" cy="1270"/>
              <wp:effectExtent l="635" t="6350" r="0" b="6985"/>
              <wp:wrapNone/>
              <wp:docPr id="15" name="Conector Reto 5"/>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5" o:spid="_x0000_s1026" o:spt="20" style="position:absolute;left:0pt;margin-left:-90.05pt;margin-top:15.9pt;height:0.1pt;width:595.35pt;z-index:-251657216;mso-width-relative:page;mso-height-relative:page;" filled="f" stroked="t" coordsize="21600,21600" o:allowincell="f"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lf5&#10;AdgAAAALAQAADwAAAAAAAAABACAAAAAiAAAAZHJzL2Rvd25yZXYueG1sUEsBAhQAFAAAAAgAh07i&#10;QNem8/mwAQAAbQMAAA4AAAAAAAAAAQAgAAAAJwEAAGRycy9lMm9Eb2MueG1sUEsFBgAAAAAGAAYA&#10;WQEAAEkFAAAAAA==&#10;">
              <v:fill on="f" focussize="0,0"/>
              <v:stroke weight="0.992125984251969pt" color="#008000" joinstyle="miter"/>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suff w:val="space"/>
      <w:lvlText w:val="%1"/>
      <w:lvlJc w:val="left"/>
      <w:pPr>
        <w:tabs>
          <w:tab w:val="left" w:pos="0"/>
        </w:tabs>
        <w:ind w:left="0" w:firstLine="0"/>
      </w:pPr>
    </w:lvl>
    <w:lvl w:ilvl="1" w:tentative="0">
      <w:start w:val="1"/>
      <w:numFmt w:val="decimal"/>
      <w:suff w:val="space"/>
      <w:lvlText w:val="%1.%2"/>
      <w:lvlJc w:val="left"/>
      <w:pPr>
        <w:tabs>
          <w:tab w:val="left" w:pos="0"/>
        </w:tabs>
        <w:ind w:left="0" w:firstLine="0"/>
      </w:pPr>
      <w:rPr>
        <w:b/>
        <w:bCs/>
      </w:rPr>
    </w:lvl>
    <w:lvl w:ilvl="2" w:tentative="0">
      <w:start w:val="1"/>
      <w:numFmt w:val="decimal"/>
      <w:suff w:val="space"/>
      <w:lvlText w:val="%1.%2.%3"/>
      <w:lvlJc w:val="left"/>
      <w:pPr>
        <w:tabs>
          <w:tab w:val="left" w:pos="0"/>
        </w:tabs>
        <w:ind w:left="0" w:firstLine="0"/>
      </w:pPr>
    </w:lvl>
    <w:lvl w:ilvl="3" w:tentative="0">
      <w:start w:val="1"/>
      <w:numFmt w:val="decimal"/>
      <w:suff w:val="space"/>
      <w:lvlText w:val="%1.%2.%3.%4"/>
      <w:lvlJc w:val="left"/>
      <w:pPr>
        <w:tabs>
          <w:tab w:val="left" w:pos="0"/>
        </w:tabs>
        <w:ind w:left="0" w:firstLine="0"/>
      </w:pPr>
    </w:lvl>
    <w:lvl w:ilvl="4" w:tentative="0">
      <w:start w:val="1"/>
      <w:numFmt w:val="decimal"/>
      <w:suff w:val="space"/>
      <w:lvlText w:val="%1.%2.%3.%4.%5"/>
      <w:lvlJc w:val="left"/>
      <w:pPr>
        <w:tabs>
          <w:tab w:val="left" w:pos="0"/>
        </w:tabs>
        <w:ind w:left="0" w:firstLine="0"/>
      </w:pPr>
    </w:lvl>
    <w:lvl w:ilvl="5" w:tentative="0">
      <w:start w:val="1"/>
      <w:numFmt w:val="decimal"/>
      <w:suff w:val="space"/>
      <w:lvlText w:val="%1.%2.%3.%4.%5.%6"/>
      <w:lvlJc w:val="left"/>
      <w:pPr>
        <w:tabs>
          <w:tab w:val="left" w:pos="0"/>
        </w:tabs>
        <w:ind w:left="0" w:firstLine="0"/>
      </w:pPr>
    </w:lvl>
    <w:lvl w:ilvl="6" w:tentative="0">
      <w:start w:val="1"/>
      <w:numFmt w:val="decimal"/>
      <w:suff w:val="space"/>
      <w:lvlText w:val="%1.%2.%3.%4.%5.%6.%7"/>
      <w:lvlJc w:val="left"/>
      <w:pPr>
        <w:tabs>
          <w:tab w:val="left" w:pos="0"/>
        </w:tabs>
        <w:ind w:left="0" w:firstLine="0"/>
      </w:pPr>
    </w:lvl>
    <w:lvl w:ilvl="7" w:tentative="0">
      <w:start w:val="1"/>
      <w:numFmt w:val="decimal"/>
      <w:suff w:val="space"/>
      <w:lvlText w:val="%1.%2.%3.%4.%5.%6.%7.%8"/>
      <w:lvlJc w:val="left"/>
      <w:pPr>
        <w:tabs>
          <w:tab w:val="left" w:pos="0"/>
        </w:tabs>
        <w:ind w:left="0" w:firstLine="0"/>
      </w:pPr>
    </w:lvl>
    <w:lvl w:ilvl="8" w:tentative="0">
      <w:start w:val="1"/>
      <w:numFmt w:val="decimal"/>
      <w:suff w:val="space"/>
      <w:lvlText w:val="%1.%2.%3.%4.%5.%6.%7.%8.%9"/>
      <w:lvlJc w:val="left"/>
      <w:pPr>
        <w:tabs>
          <w:tab w:val="left" w:pos="0"/>
        </w:tabs>
        <w:ind w:left="0" w:firstLine="0"/>
      </w:pPr>
    </w:lvl>
  </w:abstractNum>
  <w:abstractNum w:abstractNumId="1">
    <w:nsid w:val="BF205925"/>
    <w:multiLevelType w:val="multilevel"/>
    <w:tmpl w:val="BF205925"/>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rPr>
        <w:b/>
      </w:rPr>
    </w:lvl>
    <w:lvl w:ilvl="2" w:tentative="0">
      <w:start w:val="1"/>
      <w:numFmt w:val="none"/>
      <w:pStyle w:val="4"/>
      <w:suff w:val="nothing"/>
      <w:lvlText w:val=""/>
      <w:lvlJc w:val="left"/>
      <w:pPr>
        <w:tabs>
          <w:tab w:val="left" w:pos="0"/>
        </w:tabs>
        <w:ind w:left="0" w:firstLine="0"/>
      </w:pPr>
      <w:rPr>
        <w:sz w:val="24"/>
      </w:r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rPr>
        <w:sz w:val="24"/>
      </w:rPr>
    </w:lvl>
    <w:lvl w:ilvl="5" w:tentative="0">
      <w:start w:val="1"/>
      <w:numFmt w:val="none"/>
      <w:pStyle w:val="7"/>
      <w:suff w:val="nothing"/>
      <w:lvlText w:val=""/>
      <w:lvlJc w:val="left"/>
      <w:pPr>
        <w:tabs>
          <w:tab w:val="left" w:pos="0"/>
        </w:tabs>
        <w:ind w:left="0" w:firstLine="0"/>
      </w:pPr>
      <w:rPr>
        <w:b w:val="0"/>
        <w:sz w:val="24"/>
      </w:rPr>
    </w:lvl>
    <w:lvl w:ilvl="6" w:tentative="0">
      <w:start w:val="1"/>
      <w:numFmt w:val="none"/>
      <w:pStyle w:val="8"/>
      <w:suff w:val="nothing"/>
      <w:lvlText w:val=""/>
      <w:lvlJc w:val="left"/>
      <w:pPr>
        <w:tabs>
          <w:tab w:val="left" w:pos="0"/>
        </w:tabs>
        <w:ind w:left="0" w:firstLine="0"/>
      </w:pPr>
      <w:rPr>
        <w:sz w:val="24"/>
      </w:r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rPr>
        <w:b/>
        <w:sz w:val="24"/>
      </w:r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5">
    <w:nsid w:val="25B654F3"/>
    <w:multiLevelType w:val="multilevel"/>
    <w:tmpl w:val="25B654F3"/>
    <w:lvl w:ilvl="0" w:tentative="0">
      <w:start w:val="1"/>
      <w:numFmt w:val="upperRoman"/>
      <w:lvlText w:val="%1-"/>
      <w:lvlJc w:val="left"/>
      <w:pPr>
        <w:tabs>
          <w:tab w:val="left" w:pos="0"/>
        </w:tabs>
        <w:ind w:left="900" w:hanging="720"/>
      </w:pPr>
      <w:rPr>
        <w:bCs/>
        <w:i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rPr>
        <w:b/>
        <w:bCs/>
        <w:sz w:val="24"/>
        <w:szCs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851BD2"/>
    <w:rsid w:val="182B6EE7"/>
    <w:rsid w:val="2AFB5580"/>
    <w:rsid w:val="613B0074"/>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val="0"/>
      <w:jc w:val="both"/>
      <w:textAlignment w:val="auto"/>
    </w:pPr>
    <w:rPr>
      <w:sz w:val="24"/>
      <w:szCs w:val="24"/>
    </w:rPr>
  </w:style>
  <w:style w:type="paragraph" w:styleId="15">
    <w:name w:val="Block Text"/>
    <w:basedOn w:val="1"/>
    <w:qFormat/>
    <w:uiPriority w:val="0"/>
    <w:pPr>
      <w:overflowPunct w:val="0"/>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val="0"/>
      <w:ind w:left="0" w:right="-142" w:firstLine="0"/>
      <w:jc w:val="both"/>
      <w:textAlignment w:val="auto"/>
    </w:pPr>
    <w:rPr>
      <w:rFonts w:ascii="Arial" w:hAnsi="Arial" w:cs="Arial"/>
      <w:sz w:val="24"/>
      <w:szCs w:val="24"/>
    </w:rPr>
  </w:style>
  <w:style w:type="paragraph" w:styleId="18">
    <w:name w:val="Body Text 2"/>
    <w:basedOn w:val="1"/>
    <w:qFormat/>
    <w:uiPriority w:val="0"/>
    <w:pPr>
      <w:overflowPunct w:val="0"/>
      <w:jc w:val="both"/>
      <w:textAlignment w:val="auto"/>
    </w:pPr>
    <w:rPr>
      <w:rFonts w:ascii="Arial" w:hAnsi="Arial" w:cs="Arial"/>
      <w:i/>
    </w:rPr>
  </w:style>
  <w:style w:type="paragraph" w:styleId="19">
    <w:name w:val="header"/>
    <w:basedOn w:val="1"/>
    <w:qFormat/>
    <w:uiPriority w:val="0"/>
    <w:pPr>
      <w:tabs>
        <w:tab w:val="center" w:pos="4419"/>
        <w:tab w:val="right" w:pos="8838"/>
      </w:tabs>
      <w:overflowPunct w:val="0"/>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val="0"/>
      <w:ind w:left="400" w:right="0" w:firstLine="0"/>
      <w:jc w:val="both"/>
      <w:textAlignment w:val="auto"/>
    </w:pPr>
    <w:rPr>
      <w:rFonts w:ascii="Arial" w:hAnsi="Arial" w:cs="Arial"/>
      <w:bCs/>
      <w:sz w:val="21"/>
    </w:rPr>
  </w:style>
  <w:style w:type="paragraph" w:styleId="23">
    <w:name w:val="Subtitle"/>
    <w:basedOn w:val="1"/>
    <w:next w:val="14"/>
    <w:qFormat/>
    <w:uiPriority w:val="0"/>
    <w:pPr>
      <w:overflowPunct w:val="0"/>
      <w:ind w:left="-142" w:right="-1" w:firstLine="0"/>
      <w:textAlignment w:val="auto"/>
    </w:pPr>
    <w:rPr>
      <w:b/>
      <w:sz w:val="23"/>
      <w:lang w:val="pt-BR"/>
    </w:rPr>
  </w:style>
  <w:style w:type="paragraph" w:styleId="24">
    <w:name w:val="Body Text Indent"/>
    <w:basedOn w:val="1"/>
    <w:qFormat/>
    <w:uiPriority w:val="0"/>
    <w:pPr>
      <w:overflowPunct w:val="0"/>
      <w:jc w:val="both"/>
      <w:textAlignment w:val="auto"/>
    </w:pPr>
    <w:rPr>
      <w:sz w:val="22"/>
    </w:rPr>
  </w:style>
  <w:style w:type="character" w:customStyle="1" w:styleId="25">
    <w:name w:val="WW8Num1z0"/>
    <w:qFormat/>
    <w:uiPriority w:val="0"/>
  </w:style>
  <w:style w:type="character" w:customStyle="1" w:styleId="26">
    <w:name w:val="WW8Num1z1"/>
    <w:qFormat/>
    <w:uiPriority w:val="0"/>
  </w:style>
  <w:style w:type="character" w:customStyle="1" w:styleId="27">
    <w:name w:val="WW8Num1z2"/>
    <w:qFormat/>
    <w:uiPriority w:val="0"/>
  </w:style>
  <w:style w:type="character" w:customStyle="1" w:styleId="28">
    <w:name w:val="WW8Num1z3"/>
    <w:qFormat/>
    <w:uiPriority w:val="0"/>
  </w:style>
  <w:style w:type="character" w:customStyle="1" w:styleId="29">
    <w:name w:val="WW8Num1z4"/>
    <w:qFormat/>
    <w:uiPriority w:val="0"/>
  </w:style>
  <w:style w:type="character" w:customStyle="1" w:styleId="30">
    <w:name w:val="WW8Num1z5"/>
    <w:qFormat/>
    <w:uiPriority w:val="0"/>
  </w:style>
  <w:style w:type="character" w:customStyle="1" w:styleId="31">
    <w:name w:val="WW8Num1z6"/>
    <w:qFormat/>
    <w:uiPriority w:val="0"/>
  </w:style>
  <w:style w:type="character" w:customStyle="1" w:styleId="32">
    <w:name w:val="WW8Num1z7"/>
    <w:qFormat/>
    <w:uiPriority w:val="0"/>
  </w:style>
  <w:style w:type="character" w:customStyle="1" w:styleId="33">
    <w:name w:val="WW8Num1z8"/>
    <w:qFormat/>
    <w:uiPriority w:val="0"/>
  </w:style>
  <w:style w:type="character" w:customStyle="1" w:styleId="34">
    <w:name w:val="WW8Num2z0"/>
    <w:qFormat/>
    <w:uiPriority w:val="0"/>
  </w:style>
  <w:style w:type="character" w:customStyle="1" w:styleId="35">
    <w:name w:val="WW8Num2z1"/>
    <w:qFormat/>
    <w:uiPriority w:val="0"/>
  </w:style>
  <w:style w:type="character" w:customStyle="1" w:styleId="36">
    <w:name w:val="WW8Num2z2"/>
    <w:qFormat/>
    <w:uiPriority w:val="0"/>
  </w:style>
  <w:style w:type="character" w:customStyle="1" w:styleId="37">
    <w:name w:val="WW8Num2z3"/>
    <w:qFormat/>
    <w:uiPriority w:val="0"/>
  </w:style>
  <w:style w:type="character" w:customStyle="1" w:styleId="38">
    <w:name w:val="WW8Num2z4"/>
    <w:qFormat/>
    <w:uiPriority w:val="0"/>
  </w:style>
  <w:style w:type="character" w:customStyle="1" w:styleId="39">
    <w:name w:val="WW8Num2z5"/>
    <w:qFormat/>
    <w:uiPriority w:val="0"/>
  </w:style>
  <w:style w:type="character" w:customStyle="1" w:styleId="40">
    <w:name w:val="WW8Num2z6"/>
    <w:qFormat/>
    <w:uiPriority w:val="0"/>
  </w:style>
  <w:style w:type="character" w:customStyle="1" w:styleId="41">
    <w:name w:val="WW8Num2z7"/>
    <w:qFormat/>
    <w:uiPriority w:val="0"/>
  </w:style>
  <w:style w:type="character" w:customStyle="1" w:styleId="42">
    <w:name w:val="WW8Num2z8"/>
    <w:qFormat/>
    <w:uiPriority w:val="0"/>
  </w:style>
  <w:style w:type="character" w:customStyle="1" w:styleId="43">
    <w:name w:val="WW8Num3z0"/>
    <w:qFormat/>
    <w:uiPriority w:val="0"/>
  </w:style>
  <w:style w:type="character" w:customStyle="1" w:styleId="44">
    <w:name w:val="WW8Num4z0"/>
    <w:qFormat/>
    <w:uiPriority w:val="0"/>
  </w:style>
  <w:style w:type="character" w:customStyle="1" w:styleId="45">
    <w:name w:val="WW8Num5z0"/>
    <w:qFormat/>
    <w:uiPriority w:val="0"/>
    <w:rPr>
      <w:b/>
      <w:iCs/>
      <w:sz w:val="24"/>
      <w:szCs w:val="24"/>
    </w:rPr>
  </w:style>
  <w:style w:type="character" w:customStyle="1" w:styleId="46">
    <w:name w:val="WW8Num6z0"/>
    <w:qFormat/>
    <w:uiPriority w:val="0"/>
  </w:style>
  <w:style w:type="character" w:customStyle="1" w:styleId="47">
    <w:name w:val="WW8Num6z1"/>
    <w:qFormat/>
    <w:uiPriority w:val="0"/>
  </w:style>
  <w:style w:type="character" w:customStyle="1" w:styleId="48">
    <w:name w:val="WW8Num6z2"/>
    <w:qFormat/>
    <w:uiPriority w:val="0"/>
  </w:style>
  <w:style w:type="character" w:customStyle="1" w:styleId="49">
    <w:name w:val="WW8Num6z3"/>
    <w:qFormat/>
    <w:uiPriority w:val="0"/>
  </w:style>
  <w:style w:type="character" w:customStyle="1" w:styleId="50">
    <w:name w:val="WW8Num6z4"/>
    <w:qFormat/>
    <w:uiPriority w:val="0"/>
  </w:style>
  <w:style w:type="character" w:customStyle="1" w:styleId="51">
    <w:name w:val="WW8Num6z5"/>
    <w:qFormat/>
    <w:uiPriority w:val="0"/>
  </w:style>
  <w:style w:type="character" w:customStyle="1" w:styleId="52">
    <w:name w:val="WW8Num6z6"/>
    <w:qFormat/>
    <w:uiPriority w:val="0"/>
  </w:style>
  <w:style w:type="character" w:customStyle="1" w:styleId="53">
    <w:name w:val="WW8Num6z7"/>
    <w:qFormat/>
    <w:uiPriority w:val="0"/>
  </w:style>
  <w:style w:type="character" w:customStyle="1" w:styleId="54">
    <w:name w:val="WW8Num6z8"/>
    <w:qFormat/>
    <w:uiPriority w:val="0"/>
  </w:style>
  <w:style w:type="character" w:customStyle="1" w:styleId="55">
    <w:name w:val="WW8Num7z0"/>
    <w:qFormat/>
    <w:uiPriority w:val="0"/>
    <w:rPr>
      <w:spacing w:val="0"/>
      <w:w w:val="100"/>
      <w:sz w:val="22"/>
      <w:szCs w:val="22"/>
    </w:rPr>
  </w:style>
  <w:style w:type="character" w:customStyle="1" w:styleId="56">
    <w:name w:val="WW8Num7z1"/>
    <w:qFormat/>
    <w:uiPriority w:val="0"/>
  </w:style>
  <w:style w:type="character" w:customStyle="1" w:styleId="57">
    <w:name w:val="WW8Num7z2"/>
    <w:qFormat/>
    <w:uiPriority w:val="0"/>
  </w:style>
  <w:style w:type="character" w:customStyle="1" w:styleId="58">
    <w:name w:val="WW8Num7z3"/>
    <w:qFormat/>
    <w:uiPriority w:val="0"/>
  </w:style>
  <w:style w:type="character" w:customStyle="1" w:styleId="59">
    <w:name w:val="WW8Num7z4"/>
    <w:qFormat/>
    <w:uiPriority w:val="0"/>
  </w:style>
  <w:style w:type="character" w:customStyle="1" w:styleId="60">
    <w:name w:val="WW8Num7z5"/>
    <w:qFormat/>
    <w:uiPriority w:val="0"/>
  </w:style>
  <w:style w:type="character" w:customStyle="1" w:styleId="61">
    <w:name w:val="WW8Num7z6"/>
    <w:qFormat/>
    <w:uiPriority w:val="0"/>
  </w:style>
  <w:style w:type="character" w:customStyle="1" w:styleId="62">
    <w:name w:val="WW8Num7z7"/>
    <w:qFormat/>
    <w:uiPriority w:val="0"/>
  </w:style>
  <w:style w:type="character" w:customStyle="1" w:styleId="63">
    <w:name w:val="WW8Num7z8"/>
    <w:qFormat/>
    <w:uiPriority w:val="0"/>
  </w:style>
  <w:style w:type="character" w:customStyle="1" w:styleId="64">
    <w:name w:val="WW8Num8z0"/>
    <w:qFormat/>
    <w:uiPriority w:val="0"/>
    <w:rPr>
      <w:b/>
      <w:i/>
    </w:rPr>
  </w:style>
  <w:style w:type="character" w:customStyle="1" w:styleId="65">
    <w:name w:val="WW8Num9z0"/>
    <w:qFormat/>
    <w:uiPriority w:val="0"/>
    <w:rPr>
      <w:bCs/>
      <w:iCs/>
    </w:rPr>
  </w:style>
  <w:style w:type="character" w:customStyle="1" w:styleId="66">
    <w:name w:val="WW8Num9z1"/>
    <w:qFormat/>
    <w:uiPriority w:val="0"/>
  </w:style>
  <w:style w:type="character" w:customStyle="1" w:styleId="67">
    <w:name w:val="WW8Num9z2"/>
    <w:qFormat/>
    <w:uiPriority w:val="0"/>
  </w:style>
  <w:style w:type="character" w:customStyle="1" w:styleId="68">
    <w:name w:val="WW8Num9z3"/>
    <w:qFormat/>
    <w:uiPriority w:val="0"/>
  </w:style>
  <w:style w:type="character" w:customStyle="1" w:styleId="69">
    <w:name w:val="WW8Num9z4"/>
    <w:qFormat/>
    <w:uiPriority w:val="0"/>
  </w:style>
  <w:style w:type="character" w:customStyle="1" w:styleId="70">
    <w:name w:val="WW8Num9z5"/>
    <w:qFormat/>
    <w:uiPriority w:val="0"/>
  </w:style>
  <w:style w:type="character" w:customStyle="1" w:styleId="71">
    <w:name w:val="WW8Num9z6"/>
    <w:qFormat/>
    <w:uiPriority w:val="0"/>
  </w:style>
  <w:style w:type="character" w:customStyle="1" w:styleId="72">
    <w:name w:val="WW8Num9z7"/>
    <w:qFormat/>
    <w:uiPriority w:val="0"/>
  </w:style>
  <w:style w:type="character" w:customStyle="1" w:styleId="73">
    <w:name w:val="WW8Num9z8"/>
    <w:qFormat/>
    <w:uiPriority w:val="0"/>
  </w:style>
  <w:style w:type="character" w:customStyle="1" w:styleId="74">
    <w:name w:val="WW8Num10z0"/>
    <w:qFormat/>
    <w:uiPriority w:val="0"/>
  </w:style>
  <w:style w:type="character" w:customStyle="1" w:styleId="75">
    <w:name w:val="WW8Num10z1"/>
    <w:qFormat/>
    <w:uiPriority w:val="0"/>
  </w:style>
  <w:style w:type="character" w:customStyle="1" w:styleId="76">
    <w:name w:val="WW8Num10z2"/>
    <w:qFormat/>
    <w:uiPriority w:val="0"/>
  </w:style>
  <w:style w:type="character" w:customStyle="1" w:styleId="77">
    <w:name w:val="WW8Num10z3"/>
    <w:qFormat/>
    <w:uiPriority w:val="0"/>
  </w:style>
  <w:style w:type="character" w:customStyle="1" w:styleId="78">
    <w:name w:val="WW8Num10z4"/>
    <w:qFormat/>
    <w:uiPriority w:val="0"/>
  </w:style>
  <w:style w:type="character" w:customStyle="1" w:styleId="79">
    <w:name w:val="WW8Num10z5"/>
    <w:qFormat/>
    <w:uiPriority w:val="0"/>
  </w:style>
  <w:style w:type="character" w:customStyle="1" w:styleId="80">
    <w:name w:val="WW8Num10z6"/>
    <w:qFormat/>
    <w:uiPriority w:val="0"/>
  </w:style>
  <w:style w:type="character" w:customStyle="1" w:styleId="81">
    <w:name w:val="WW8Num10z7"/>
    <w:qFormat/>
    <w:uiPriority w:val="0"/>
  </w:style>
  <w:style w:type="character" w:customStyle="1" w:styleId="82">
    <w:name w:val="WW8Num10z8"/>
    <w:qFormat/>
    <w:uiPriority w:val="0"/>
  </w:style>
  <w:style w:type="character" w:customStyle="1" w:styleId="83">
    <w:name w:val="WW8Num11z0"/>
    <w:qFormat/>
    <w:uiPriority w:val="0"/>
  </w:style>
  <w:style w:type="character" w:customStyle="1" w:styleId="84">
    <w:name w:val="WW8Num11z1"/>
    <w:qFormat/>
    <w:uiPriority w:val="0"/>
  </w:style>
  <w:style w:type="character" w:customStyle="1" w:styleId="85">
    <w:name w:val="WW8Num11z2"/>
    <w:qFormat/>
    <w:uiPriority w:val="0"/>
  </w:style>
  <w:style w:type="character" w:customStyle="1" w:styleId="86">
    <w:name w:val="WW8Num11z3"/>
    <w:qFormat/>
    <w:uiPriority w:val="0"/>
  </w:style>
  <w:style w:type="character" w:customStyle="1" w:styleId="87">
    <w:name w:val="WW8Num11z4"/>
    <w:qFormat/>
    <w:uiPriority w:val="0"/>
  </w:style>
  <w:style w:type="character" w:customStyle="1" w:styleId="88">
    <w:name w:val="WW8Num11z5"/>
    <w:qFormat/>
    <w:uiPriority w:val="0"/>
  </w:style>
  <w:style w:type="character" w:customStyle="1" w:styleId="89">
    <w:name w:val="WW8Num11z6"/>
    <w:qFormat/>
    <w:uiPriority w:val="0"/>
  </w:style>
  <w:style w:type="character" w:customStyle="1" w:styleId="90">
    <w:name w:val="WW8Num11z7"/>
    <w:qFormat/>
    <w:uiPriority w:val="0"/>
  </w:style>
  <w:style w:type="character" w:customStyle="1" w:styleId="91">
    <w:name w:val="WW8Num11z8"/>
    <w:qFormat/>
    <w:uiPriority w:val="0"/>
  </w:style>
  <w:style w:type="character" w:customStyle="1" w:styleId="92">
    <w:name w:val="WW8Num12z0"/>
    <w:qFormat/>
    <w:uiPriority w:val="0"/>
    <w:rPr>
      <w:rFonts w:ascii="Symbol" w:hAnsi="Symbol" w:eastAsia="Times New Roman" w:cs="Times New Roman"/>
    </w:rPr>
  </w:style>
  <w:style w:type="character" w:customStyle="1" w:styleId="93">
    <w:name w:val="WW8Num12z1"/>
    <w:qFormat/>
    <w:uiPriority w:val="0"/>
    <w:rPr>
      <w:rFonts w:ascii="Courier New" w:hAnsi="Courier New" w:cs="Courier New"/>
    </w:rPr>
  </w:style>
  <w:style w:type="character" w:customStyle="1" w:styleId="94">
    <w:name w:val="WW8Num12z2"/>
    <w:qFormat/>
    <w:uiPriority w:val="0"/>
    <w:rPr>
      <w:rFonts w:ascii="Wingdings" w:hAnsi="Wingdings" w:cs="Wingdings"/>
    </w:rPr>
  </w:style>
  <w:style w:type="character" w:customStyle="1" w:styleId="95">
    <w:name w:val="WW8Num12z3"/>
    <w:qFormat/>
    <w:uiPriority w:val="0"/>
    <w:rPr>
      <w:rFonts w:ascii="Symbol" w:hAnsi="Symbol" w:cs="Symbol"/>
    </w:rPr>
  </w:style>
  <w:style w:type="character" w:customStyle="1" w:styleId="96">
    <w:name w:val="WW8Num13z0"/>
    <w:qFormat/>
    <w:uiPriority w:val="0"/>
  </w:style>
  <w:style w:type="character" w:customStyle="1" w:styleId="97">
    <w:name w:val="WW8Num13z1"/>
    <w:qFormat/>
    <w:uiPriority w:val="0"/>
  </w:style>
  <w:style w:type="character" w:customStyle="1" w:styleId="98">
    <w:name w:val="WW8Num13z2"/>
    <w:qFormat/>
    <w:uiPriority w:val="0"/>
  </w:style>
  <w:style w:type="character" w:customStyle="1" w:styleId="99">
    <w:name w:val="WW8Num13z3"/>
    <w:qFormat/>
    <w:uiPriority w:val="0"/>
  </w:style>
  <w:style w:type="character" w:customStyle="1" w:styleId="100">
    <w:name w:val="WW8Num13z4"/>
    <w:qFormat/>
    <w:uiPriority w:val="0"/>
  </w:style>
  <w:style w:type="character" w:customStyle="1" w:styleId="101">
    <w:name w:val="WW8Num13z5"/>
    <w:qFormat/>
    <w:uiPriority w:val="0"/>
  </w:style>
  <w:style w:type="character" w:customStyle="1" w:styleId="102">
    <w:name w:val="WW8Num13z6"/>
    <w:qFormat/>
    <w:uiPriority w:val="0"/>
  </w:style>
  <w:style w:type="character" w:customStyle="1" w:styleId="103">
    <w:name w:val="WW8Num13z7"/>
    <w:qFormat/>
    <w:uiPriority w:val="0"/>
  </w:style>
  <w:style w:type="character" w:customStyle="1" w:styleId="104">
    <w:name w:val="WW8Num13z8"/>
    <w:qFormat/>
    <w:uiPriority w:val="0"/>
  </w:style>
  <w:style w:type="character" w:customStyle="1" w:styleId="105">
    <w:name w:val="WW8Num14z0"/>
    <w:qFormat/>
    <w:uiPriority w:val="0"/>
    <w:rPr>
      <w:b/>
      <w:bCs/>
      <w:sz w:val="24"/>
      <w:szCs w:val="24"/>
    </w:rPr>
  </w:style>
  <w:style w:type="character" w:customStyle="1" w:styleId="106">
    <w:name w:val="WW8Num14z1"/>
    <w:qFormat/>
    <w:uiPriority w:val="0"/>
  </w:style>
  <w:style w:type="character" w:customStyle="1" w:styleId="107">
    <w:name w:val="WW8Num14z2"/>
    <w:qFormat/>
    <w:uiPriority w:val="0"/>
  </w:style>
  <w:style w:type="character" w:customStyle="1" w:styleId="108">
    <w:name w:val="WW8Num14z3"/>
    <w:qFormat/>
    <w:uiPriority w:val="0"/>
  </w:style>
  <w:style w:type="character" w:customStyle="1" w:styleId="109">
    <w:name w:val="WW8Num14z4"/>
    <w:qFormat/>
    <w:uiPriority w:val="0"/>
  </w:style>
  <w:style w:type="character" w:customStyle="1" w:styleId="110">
    <w:name w:val="WW8Num14z5"/>
    <w:qFormat/>
    <w:uiPriority w:val="0"/>
  </w:style>
  <w:style w:type="character" w:customStyle="1" w:styleId="111">
    <w:name w:val="WW8Num14z6"/>
    <w:qFormat/>
    <w:uiPriority w:val="0"/>
  </w:style>
  <w:style w:type="character" w:customStyle="1" w:styleId="112">
    <w:name w:val="WW8Num14z7"/>
    <w:qFormat/>
    <w:uiPriority w:val="0"/>
  </w:style>
  <w:style w:type="character" w:customStyle="1" w:styleId="113">
    <w:name w:val="WW8Num14z8"/>
    <w:qFormat/>
    <w:uiPriority w:val="0"/>
  </w:style>
  <w:style w:type="character" w:customStyle="1" w:styleId="114">
    <w:name w:val="WW8Num15z0"/>
    <w:qFormat/>
    <w:uiPriority w:val="0"/>
  </w:style>
  <w:style w:type="character" w:customStyle="1" w:styleId="115">
    <w:name w:val="WW8Num15z1"/>
    <w:qFormat/>
    <w:uiPriority w:val="0"/>
  </w:style>
  <w:style w:type="character" w:customStyle="1" w:styleId="116">
    <w:name w:val="WW8Num15z2"/>
    <w:qFormat/>
    <w:uiPriority w:val="0"/>
  </w:style>
  <w:style w:type="character" w:customStyle="1" w:styleId="117">
    <w:name w:val="WW8Num15z3"/>
    <w:qFormat/>
    <w:uiPriority w:val="0"/>
  </w:style>
  <w:style w:type="character" w:customStyle="1" w:styleId="118">
    <w:name w:val="WW8Num15z4"/>
    <w:qFormat/>
    <w:uiPriority w:val="0"/>
  </w:style>
  <w:style w:type="character" w:customStyle="1" w:styleId="119">
    <w:name w:val="WW8Num15z5"/>
    <w:qFormat/>
    <w:uiPriority w:val="0"/>
  </w:style>
  <w:style w:type="character" w:customStyle="1" w:styleId="120">
    <w:name w:val="WW8Num15z6"/>
    <w:qFormat/>
    <w:uiPriority w:val="0"/>
  </w:style>
  <w:style w:type="character" w:customStyle="1" w:styleId="121">
    <w:name w:val="WW8Num15z7"/>
    <w:qFormat/>
    <w:uiPriority w:val="0"/>
  </w:style>
  <w:style w:type="character" w:customStyle="1" w:styleId="122">
    <w:name w:val="WW8Num15z8"/>
    <w:qFormat/>
    <w:uiPriority w:val="0"/>
  </w:style>
  <w:style w:type="character" w:customStyle="1" w:styleId="123">
    <w:name w:val="WW8Num16z0"/>
    <w:qFormat/>
    <w:uiPriority w:val="0"/>
  </w:style>
  <w:style w:type="character" w:customStyle="1" w:styleId="124">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5">
    <w:name w:val="WW8Num17z1"/>
    <w:qFormat/>
    <w:uiPriority w:val="0"/>
    <w:rPr>
      <w:lang w:val="pt-BR" w:bidi="pt-BR"/>
    </w:rPr>
  </w:style>
  <w:style w:type="character" w:customStyle="1" w:styleId="126">
    <w:name w:val="WW8Num18z0"/>
    <w:qFormat/>
    <w:uiPriority w:val="0"/>
    <w:rPr>
      <w:b/>
    </w:rPr>
  </w:style>
  <w:style w:type="character" w:customStyle="1" w:styleId="127">
    <w:name w:val="WW8Num19z0"/>
    <w:qFormat/>
    <w:uiPriority w:val="0"/>
  </w:style>
  <w:style w:type="character" w:customStyle="1" w:styleId="128">
    <w:name w:val="WW8Num19z1"/>
    <w:qFormat/>
    <w:uiPriority w:val="0"/>
  </w:style>
  <w:style w:type="character" w:customStyle="1" w:styleId="129">
    <w:name w:val="WW8Num19z2"/>
    <w:qFormat/>
    <w:uiPriority w:val="0"/>
  </w:style>
  <w:style w:type="character" w:customStyle="1" w:styleId="130">
    <w:name w:val="WW8Num19z3"/>
    <w:qFormat/>
    <w:uiPriority w:val="0"/>
  </w:style>
  <w:style w:type="character" w:customStyle="1" w:styleId="131">
    <w:name w:val="WW8Num19z4"/>
    <w:qFormat/>
    <w:uiPriority w:val="0"/>
  </w:style>
  <w:style w:type="character" w:customStyle="1" w:styleId="132">
    <w:name w:val="WW8Num19z5"/>
    <w:qFormat/>
    <w:uiPriority w:val="0"/>
  </w:style>
  <w:style w:type="character" w:customStyle="1" w:styleId="133">
    <w:name w:val="WW8Num19z6"/>
    <w:qFormat/>
    <w:uiPriority w:val="0"/>
  </w:style>
  <w:style w:type="character" w:customStyle="1" w:styleId="134">
    <w:name w:val="WW8Num19z7"/>
    <w:qFormat/>
    <w:uiPriority w:val="0"/>
  </w:style>
  <w:style w:type="character" w:customStyle="1" w:styleId="135">
    <w:name w:val="WW8Num19z8"/>
    <w:qFormat/>
    <w:uiPriority w:val="0"/>
  </w:style>
  <w:style w:type="character" w:customStyle="1" w:styleId="136">
    <w:name w:val="WW8Num20z0"/>
    <w:qFormat/>
    <w:uiPriority w:val="0"/>
  </w:style>
  <w:style w:type="character" w:customStyle="1" w:styleId="137">
    <w:name w:val="WW8Num20z1"/>
    <w:qFormat/>
    <w:uiPriority w:val="0"/>
  </w:style>
  <w:style w:type="character" w:customStyle="1" w:styleId="138">
    <w:name w:val="WW8Num20z2"/>
    <w:qFormat/>
    <w:uiPriority w:val="0"/>
  </w:style>
  <w:style w:type="character" w:customStyle="1" w:styleId="139">
    <w:name w:val="WW8Num20z3"/>
    <w:qFormat/>
    <w:uiPriority w:val="0"/>
  </w:style>
  <w:style w:type="character" w:customStyle="1" w:styleId="140">
    <w:name w:val="WW8Num20z4"/>
    <w:qFormat/>
    <w:uiPriority w:val="0"/>
  </w:style>
  <w:style w:type="character" w:customStyle="1" w:styleId="141">
    <w:name w:val="WW8Num20z5"/>
    <w:qFormat/>
    <w:uiPriority w:val="0"/>
  </w:style>
  <w:style w:type="character" w:customStyle="1" w:styleId="142">
    <w:name w:val="WW8Num20z6"/>
    <w:qFormat/>
    <w:uiPriority w:val="0"/>
  </w:style>
  <w:style w:type="character" w:customStyle="1" w:styleId="143">
    <w:name w:val="WW8Num20z7"/>
    <w:qFormat/>
    <w:uiPriority w:val="0"/>
  </w:style>
  <w:style w:type="character" w:customStyle="1" w:styleId="144">
    <w:name w:val="WW8Num20z8"/>
    <w:qFormat/>
    <w:uiPriority w:val="0"/>
  </w:style>
  <w:style w:type="character" w:customStyle="1" w:styleId="145">
    <w:name w:val="WW8Num21z0"/>
    <w:qFormat/>
    <w:uiPriority w:val="0"/>
  </w:style>
  <w:style w:type="character" w:customStyle="1" w:styleId="146">
    <w:name w:val="WW8Num22z0"/>
    <w:qFormat/>
    <w:uiPriority w:val="0"/>
  </w:style>
  <w:style w:type="character" w:customStyle="1" w:styleId="147">
    <w:name w:val="WW8Num22z1"/>
    <w:qFormat/>
    <w:uiPriority w:val="0"/>
  </w:style>
  <w:style w:type="character" w:customStyle="1" w:styleId="148">
    <w:name w:val="WW8Num22z2"/>
    <w:qFormat/>
    <w:uiPriority w:val="0"/>
  </w:style>
  <w:style w:type="character" w:customStyle="1" w:styleId="149">
    <w:name w:val="WW8Num22z3"/>
    <w:qFormat/>
    <w:uiPriority w:val="0"/>
  </w:style>
  <w:style w:type="character" w:customStyle="1" w:styleId="150">
    <w:name w:val="WW8Num22z4"/>
    <w:qFormat/>
    <w:uiPriority w:val="0"/>
  </w:style>
  <w:style w:type="character" w:customStyle="1" w:styleId="151">
    <w:name w:val="WW8Num22z5"/>
    <w:qFormat/>
    <w:uiPriority w:val="0"/>
  </w:style>
  <w:style w:type="character" w:customStyle="1" w:styleId="152">
    <w:name w:val="WW8Num22z6"/>
    <w:qFormat/>
    <w:uiPriority w:val="0"/>
  </w:style>
  <w:style w:type="character" w:customStyle="1" w:styleId="153">
    <w:name w:val="WW8Num22z7"/>
    <w:qFormat/>
    <w:uiPriority w:val="0"/>
  </w:style>
  <w:style w:type="character" w:customStyle="1" w:styleId="154">
    <w:name w:val="WW8Num22z8"/>
    <w:qFormat/>
    <w:uiPriority w:val="0"/>
  </w:style>
  <w:style w:type="character" w:customStyle="1" w:styleId="155">
    <w:name w:val="WW8Num23z0"/>
    <w:qFormat/>
    <w:uiPriority w:val="0"/>
    <w:rPr>
      <w:rFonts w:ascii="Symbol" w:hAnsi="Symbol" w:cs="Symbol"/>
    </w:rPr>
  </w:style>
  <w:style w:type="character" w:customStyle="1" w:styleId="156">
    <w:name w:val="WW8Num23z1"/>
    <w:qFormat/>
    <w:uiPriority w:val="0"/>
    <w:rPr>
      <w:rFonts w:ascii="Courier New" w:hAnsi="Courier New" w:cs="Courier New"/>
    </w:rPr>
  </w:style>
  <w:style w:type="character" w:customStyle="1" w:styleId="157">
    <w:name w:val="WW8Num23z2"/>
    <w:qFormat/>
    <w:uiPriority w:val="0"/>
    <w:rPr>
      <w:rFonts w:ascii="Wingdings" w:hAnsi="Wingdings" w:cs="Wingdings"/>
    </w:rPr>
  </w:style>
  <w:style w:type="character" w:customStyle="1" w:styleId="158">
    <w:name w:val="WW8Num24z0"/>
    <w:qFormat/>
    <w:uiPriority w:val="0"/>
  </w:style>
  <w:style w:type="character" w:customStyle="1" w:styleId="159">
    <w:name w:val="WW8Num24z1"/>
    <w:qFormat/>
    <w:uiPriority w:val="0"/>
  </w:style>
  <w:style w:type="character" w:customStyle="1" w:styleId="160">
    <w:name w:val="WW8Num24z2"/>
    <w:qFormat/>
    <w:uiPriority w:val="0"/>
  </w:style>
  <w:style w:type="character" w:customStyle="1" w:styleId="161">
    <w:name w:val="WW8Num24z3"/>
    <w:qFormat/>
    <w:uiPriority w:val="0"/>
  </w:style>
  <w:style w:type="character" w:customStyle="1" w:styleId="162">
    <w:name w:val="WW8Num24z4"/>
    <w:qFormat/>
    <w:uiPriority w:val="0"/>
  </w:style>
  <w:style w:type="character" w:customStyle="1" w:styleId="163">
    <w:name w:val="WW8Num24z5"/>
    <w:qFormat/>
    <w:uiPriority w:val="0"/>
  </w:style>
  <w:style w:type="character" w:customStyle="1" w:styleId="164">
    <w:name w:val="WW8Num24z6"/>
    <w:qFormat/>
    <w:uiPriority w:val="0"/>
  </w:style>
  <w:style w:type="character" w:customStyle="1" w:styleId="165">
    <w:name w:val="WW8Num24z7"/>
    <w:qFormat/>
    <w:uiPriority w:val="0"/>
  </w:style>
  <w:style w:type="character" w:customStyle="1" w:styleId="166">
    <w:name w:val="WW8Num24z8"/>
    <w:qFormat/>
    <w:uiPriority w:val="0"/>
  </w:style>
  <w:style w:type="character" w:customStyle="1" w:styleId="167">
    <w:name w:val="WW8Num25z0"/>
    <w:qFormat/>
    <w:uiPriority w:val="0"/>
  </w:style>
  <w:style w:type="character" w:customStyle="1" w:styleId="168">
    <w:name w:val="WW8Num25z1"/>
    <w:qFormat/>
    <w:uiPriority w:val="0"/>
  </w:style>
  <w:style w:type="character" w:customStyle="1" w:styleId="169">
    <w:name w:val="WW8Num25z2"/>
    <w:qFormat/>
    <w:uiPriority w:val="0"/>
  </w:style>
  <w:style w:type="character" w:customStyle="1" w:styleId="170">
    <w:name w:val="WW8Num25z3"/>
    <w:qFormat/>
    <w:uiPriority w:val="0"/>
  </w:style>
  <w:style w:type="character" w:customStyle="1" w:styleId="171">
    <w:name w:val="WW8Num25z4"/>
    <w:qFormat/>
    <w:uiPriority w:val="0"/>
  </w:style>
  <w:style w:type="character" w:customStyle="1" w:styleId="172">
    <w:name w:val="WW8Num25z5"/>
    <w:qFormat/>
    <w:uiPriority w:val="0"/>
  </w:style>
  <w:style w:type="character" w:customStyle="1" w:styleId="173">
    <w:name w:val="WW8Num25z6"/>
    <w:qFormat/>
    <w:uiPriority w:val="0"/>
  </w:style>
  <w:style w:type="character" w:customStyle="1" w:styleId="174">
    <w:name w:val="WW8Num25z7"/>
    <w:qFormat/>
    <w:uiPriority w:val="0"/>
  </w:style>
  <w:style w:type="character" w:customStyle="1" w:styleId="175">
    <w:name w:val="WW8Num25z8"/>
    <w:qFormat/>
    <w:uiPriority w:val="0"/>
  </w:style>
  <w:style w:type="character" w:customStyle="1" w:styleId="176">
    <w:name w:val="WW8Num26z0"/>
    <w:qFormat/>
    <w:uiPriority w:val="0"/>
  </w:style>
  <w:style w:type="character" w:customStyle="1" w:styleId="177">
    <w:name w:val="WW8Num26z1"/>
    <w:qFormat/>
    <w:uiPriority w:val="0"/>
  </w:style>
  <w:style w:type="character" w:customStyle="1" w:styleId="178">
    <w:name w:val="WW8Num26z2"/>
    <w:qFormat/>
    <w:uiPriority w:val="0"/>
  </w:style>
  <w:style w:type="character" w:customStyle="1" w:styleId="179">
    <w:name w:val="WW8Num26z3"/>
    <w:qFormat/>
    <w:uiPriority w:val="0"/>
  </w:style>
  <w:style w:type="character" w:customStyle="1" w:styleId="180">
    <w:name w:val="WW8Num26z4"/>
    <w:qFormat/>
    <w:uiPriority w:val="0"/>
  </w:style>
  <w:style w:type="character" w:customStyle="1" w:styleId="181">
    <w:name w:val="WW8Num26z5"/>
    <w:qFormat/>
    <w:uiPriority w:val="0"/>
  </w:style>
  <w:style w:type="character" w:customStyle="1" w:styleId="182">
    <w:name w:val="WW8Num26z6"/>
    <w:qFormat/>
    <w:uiPriority w:val="0"/>
  </w:style>
  <w:style w:type="character" w:customStyle="1" w:styleId="183">
    <w:name w:val="WW8Num26z7"/>
    <w:qFormat/>
    <w:uiPriority w:val="0"/>
  </w:style>
  <w:style w:type="character" w:customStyle="1" w:styleId="184">
    <w:name w:val="WW8Num26z8"/>
    <w:qFormat/>
    <w:uiPriority w:val="0"/>
  </w:style>
  <w:style w:type="character" w:customStyle="1" w:styleId="185">
    <w:name w:val="WW8Num27z0"/>
    <w:qFormat/>
    <w:uiPriority w:val="0"/>
  </w:style>
  <w:style w:type="character" w:customStyle="1" w:styleId="186">
    <w:name w:val="WW8Num27z1"/>
    <w:qFormat/>
    <w:uiPriority w:val="0"/>
  </w:style>
  <w:style w:type="character" w:customStyle="1" w:styleId="187">
    <w:name w:val="WW8Num27z2"/>
    <w:qFormat/>
    <w:uiPriority w:val="0"/>
  </w:style>
  <w:style w:type="character" w:customStyle="1" w:styleId="188">
    <w:name w:val="WW8Num27z3"/>
    <w:qFormat/>
    <w:uiPriority w:val="0"/>
  </w:style>
  <w:style w:type="character" w:customStyle="1" w:styleId="189">
    <w:name w:val="WW8Num27z4"/>
    <w:qFormat/>
    <w:uiPriority w:val="0"/>
  </w:style>
  <w:style w:type="character" w:customStyle="1" w:styleId="190">
    <w:name w:val="WW8Num27z5"/>
    <w:qFormat/>
    <w:uiPriority w:val="0"/>
  </w:style>
  <w:style w:type="character" w:customStyle="1" w:styleId="191">
    <w:name w:val="WW8Num27z6"/>
    <w:qFormat/>
    <w:uiPriority w:val="0"/>
  </w:style>
  <w:style w:type="character" w:customStyle="1" w:styleId="192">
    <w:name w:val="WW8Num27z7"/>
    <w:qFormat/>
    <w:uiPriority w:val="0"/>
  </w:style>
  <w:style w:type="character" w:customStyle="1" w:styleId="193">
    <w:name w:val="WW8Num27z8"/>
    <w:qFormat/>
    <w:uiPriority w:val="0"/>
  </w:style>
  <w:style w:type="character" w:customStyle="1" w:styleId="194">
    <w:name w:val="WW8Num28z0"/>
    <w:qFormat/>
    <w:uiPriority w:val="0"/>
  </w:style>
  <w:style w:type="character" w:customStyle="1" w:styleId="195">
    <w:name w:val="WW8Num29z0"/>
    <w:qFormat/>
    <w:uiPriority w:val="0"/>
    <w:rPr>
      <w:b/>
    </w:rPr>
  </w:style>
  <w:style w:type="character" w:customStyle="1" w:styleId="196">
    <w:name w:val="WW8Num30z0"/>
    <w:qFormat/>
    <w:uiPriority w:val="0"/>
    <w:rPr>
      <w:b/>
    </w:rPr>
  </w:style>
  <w:style w:type="character" w:customStyle="1" w:styleId="197">
    <w:name w:val="WW8Num31z0"/>
    <w:qFormat/>
    <w:uiPriority w:val="0"/>
    <w:rPr>
      <w:b/>
    </w:rPr>
  </w:style>
  <w:style w:type="character" w:customStyle="1" w:styleId="198">
    <w:name w:val="WW8Num31z1"/>
    <w:qFormat/>
    <w:uiPriority w:val="0"/>
  </w:style>
  <w:style w:type="character" w:customStyle="1" w:styleId="199">
    <w:name w:val="WW8Num31z2"/>
    <w:qFormat/>
    <w:uiPriority w:val="0"/>
  </w:style>
  <w:style w:type="character" w:customStyle="1" w:styleId="200">
    <w:name w:val="WW8Num31z3"/>
    <w:qFormat/>
    <w:uiPriority w:val="0"/>
  </w:style>
  <w:style w:type="character" w:customStyle="1" w:styleId="201">
    <w:name w:val="WW8Num31z4"/>
    <w:qFormat/>
    <w:uiPriority w:val="0"/>
  </w:style>
  <w:style w:type="character" w:customStyle="1" w:styleId="202">
    <w:name w:val="WW8Num31z5"/>
    <w:qFormat/>
    <w:uiPriority w:val="0"/>
  </w:style>
  <w:style w:type="character" w:customStyle="1" w:styleId="203">
    <w:name w:val="WW8Num31z6"/>
    <w:qFormat/>
    <w:uiPriority w:val="0"/>
  </w:style>
  <w:style w:type="character" w:customStyle="1" w:styleId="204">
    <w:name w:val="WW8Num31z7"/>
    <w:qFormat/>
    <w:uiPriority w:val="0"/>
  </w:style>
  <w:style w:type="character" w:customStyle="1" w:styleId="205">
    <w:name w:val="WW8Num31z8"/>
    <w:qFormat/>
    <w:uiPriority w:val="0"/>
  </w:style>
  <w:style w:type="character" w:customStyle="1" w:styleId="206">
    <w:name w:val="Número de página1"/>
    <w:basedOn w:val="11"/>
    <w:qFormat/>
    <w:uiPriority w:val="0"/>
  </w:style>
  <w:style w:type="character" w:customStyle="1" w:styleId="207">
    <w:name w:val="Link da Internet"/>
    <w:qFormat/>
    <w:uiPriority w:val="0"/>
    <w:rPr>
      <w:color w:val="0000FF"/>
      <w:u w:val="single"/>
    </w:rPr>
  </w:style>
  <w:style w:type="character" w:customStyle="1" w:styleId="208">
    <w:name w:val="Link da internet visitado"/>
    <w:qFormat/>
    <w:uiPriority w:val="0"/>
    <w:rPr>
      <w:color w:val="800080"/>
      <w:u w:val="single"/>
    </w:rPr>
  </w:style>
  <w:style w:type="character" w:customStyle="1" w:styleId="209">
    <w:name w:val="Heading 1 Char"/>
    <w:qFormat/>
    <w:uiPriority w:val="0"/>
    <w:rPr>
      <w:rFonts w:ascii="Arial" w:hAnsi="Arial" w:cs="Arial"/>
      <w:i/>
      <w:lang w:val="pt-BR" w:bidi="ar-SA"/>
    </w:rPr>
  </w:style>
  <w:style w:type="character" w:customStyle="1" w:styleId="210">
    <w:name w:val="Heading 2 Char"/>
    <w:qFormat/>
    <w:uiPriority w:val="0"/>
    <w:rPr>
      <w:rFonts w:ascii="Arial" w:hAnsi="Arial" w:cs="Arial"/>
      <w:i/>
      <w:color w:val="FF0000"/>
      <w:sz w:val="24"/>
      <w:lang w:val="pt-BR" w:bidi="ar-SA"/>
    </w:rPr>
  </w:style>
  <w:style w:type="character" w:customStyle="1" w:styleId="211">
    <w:name w:val="Heading 3 Char"/>
    <w:qFormat/>
    <w:uiPriority w:val="0"/>
    <w:rPr>
      <w:rFonts w:ascii="Arial" w:hAnsi="Arial" w:cs="Arial"/>
      <w:b/>
      <w:color w:val="FF0000"/>
      <w:sz w:val="22"/>
      <w:lang w:val="pt-BR" w:bidi="ar-SA"/>
    </w:rPr>
  </w:style>
  <w:style w:type="character" w:customStyle="1" w:styleId="212">
    <w:name w:val="Heading 4 Char"/>
    <w:qFormat/>
    <w:uiPriority w:val="0"/>
    <w:rPr>
      <w:rFonts w:ascii="Arial" w:hAnsi="Arial" w:cs="Arial"/>
      <w:b/>
      <w:sz w:val="22"/>
      <w:lang w:val="pt-BR" w:bidi="ar-SA"/>
    </w:rPr>
  </w:style>
  <w:style w:type="character" w:customStyle="1" w:styleId="213">
    <w:name w:val="Heading 5 Char"/>
    <w:qFormat/>
    <w:uiPriority w:val="0"/>
    <w:rPr>
      <w:rFonts w:ascii="Arial" w:hAnsi="Arial" w:cs="Arial"/>
      <w:b/>
      <w:sz w:val="22"/>
      <w:lang w:val="pt-BR" w:bidi="ar-SA"/>
    </w:rPr>
  </w:style>
  <w:style w:type="character" w:customStyle="1" w:styleId="214">
    <w:name w:val="Heading 6 Char"/>
    <w:qFormat/>
    <w:uiPriority w:val="0"/>
    <w:rPr>
      <w:rFonts w:ascii="Arial" w:hAnsi="Arial" w:cs="Arial"/>
      <w:i/>
      <w:sz w:val="24"/>
      <w:lang w:val="pt-BR" w:bidi="ar-SA"/>
    </w:rPr>
  </w:style>
  <w:style w:type="character" w:customStyle="1" w:styleId="215">
    <w:name w:val="Heading 7 Char"/>
    <w:qFormat/>
    <w:uiPriority w:val="0"/>
    <w:rPr>
      <w:rFonts w:ascii="Arial" w:hAnsi="Arial" w:cs="Arial"/>
      <w:b/>
      <w:bCs/>
      <w:sz w:val="21"/>
      <w:lang w:val="pt-BR" w:bidi="ar-SA"/>
    </w:rPr>
  </w:style>
  <w:style w:type="character" w:customStyle="1" w:styleId="216">
    <w:name w:val="Heading 8 Char"/>
    <w:qFormat/>
    <w:uiPriority w:val="0"/>
    <w:rPr>
      <w:rFonts w:ascii="Arial" w:hAnsi="Arial" w:cs="Arial"/>
      <w:i/>
      <w:sz w:val="24"/>
      <w:lang w:val="pt-BR" w:bidi="ar-SA"/>
    </w:rPr>
  </w:style>
  <w:style w:type="character" w:customStyle="1" w:styleId="217">
    <w:name w:val="Heading 9 Char"/>
    <w:qFormat/>
    <w:uiPriority w:val="0"/>
    <w:rPr>
      <w:rFonts w:ascii="Arial" w:hAnsi="Arial" w:cs="Arial"/>
      <w:i/>
      <w:sz w:val="28"/>
      <w:lang w:val="pt-BR" w:bidi="ar-SA"/>
    </w:rPr>
  </w:style>
  <w:style w:type="character" w:customStyle="1" w:styleId="218">
    <w:name w:val="Header Char"/>
    <w:qFormat/>
    <w:uiPriority w:val="0"/>
    <w:rPr>
      <w:sz w:val="24"/>
      <w:szCs w:val="24"/>
      <w:lang w:val="pt-BR" w:bidi="ar-SA"/>
    </w:rPr>
  </w:style>
  <w:style w:type="character" w:customStyle="1" w:styleId="219">
    <w:name w:val="Footer Char"/>
    <w:qFormat/>
    <w:uiPriority w:val="0"/>
    <w:rPr>
      <w:rFonts w:ascii="Courier (W1);Segoe Print" w:hAnsi="Courier (W1);Segoe Print" w:cs="Courier (W1);Segoe Print"/>
      <w:color w:val="000000"/>
      <w:sz w:val="24"/>
      <w:lang w:val="pt-BR" w:bidi="ar-SA"/>
    </w:rPr>
  </w:style>
  <w:style w:type="character" w:customStyle="1" w:styleId="220">
    <w:name w:val="Title Char"/>
    <w:qFormat/>
    <w:uiPriority w:val="0"/>
    <w:rPr>
      <w:rFonts w:ascii="Arial" w:hAnsi="Arial" w:cs="Arial"/>
      <w:b/>
      <w:bCs/>
      <w:sz w:val="21"/>
      <w:szCs w:val="24"/>
      <w:lang w:val="pt-BR" w:bidi="ar-SA"/>
    </w:rPr>
  </w:style>
  <w:style w:type="character" w:customStyle="1" w:styleId="221">
    <w:name w:val="Body Text Char"/>
    <w:qFormat/>
    <w:uiPriority w:val="0"/>
    <w:rPr>
      <w:sz w:val="24"/>
      <w:szCs w:val="24"/>
      <w:lang w:val="pt-BR" w:bidi="ar-SA"/>
    </w:rPr>
  </w:style>
  <w:style w:type="character" w:customStyle="1" w:styleId="222">
    <w:name w:val="Body Text Indent Char"/>
    <w:qFormat/>
    <w:uiPriority w:val="0"/>
    <w:rPr>
      <w:sz w:val="22"/>
      <w:lang w:val="pt-BR" w:bidi="ar-SA"/>
    </w:rPr>
  </w:style>
  <w:style w:type="character" w:customStyle="1" w:styleId="223">
    <w:name w:val="Body Text 2 Char"/>
    <w:qFormat/>
    <w:uiPriority w:val="0"/>
    <w:rPr>
      <w:rFonts w:ascii="Arial" w:hAnsi="Arial" w:cs="Arial"/>
      <w:i/>
      <w:lang w:val="pt-BR" w:bidi="ar-SA"/>
    </w:rPr>
  </w:style>
  <w:style w:type="character" w:customStyle="1" w:styleId="224">
    <w:name w:val="Body Text 3 Char"/>
    <w:qFormat/>
    <w:uiPriority w:val="0"/>
    <w:rPr>
      <w:rFonts w:ascii="Arial" w:hAnsi="Arial" w:cs="Arial"/>
      <w:sz w:val="24"/>
      <w:szCs w:val="24"/>
      <w:lang w:val="pt-BR" w:bidi="ar-SA"/>
    </w:rPr>
  </w:style>
  <w:style w:type="character" w:customStyle="1" w:styleId="225">
    <w:name w:val="Body Text Indent 2 Char"/>
    <w:qFormat/>
    <w:uiPriority w:val="0"/>
    <w:rPr>
      <w:rFonts w:ascii="Arial" w:hAnsi="Arial" w:cs="Arial"/>
      <w:sz w:val="23"/>
      <w:lang w:val="pt-BR" w:bidi="ar-SA"/>
    </w:rPr>
  </w:style>
  <w:style w:type="character" w:customStyle="1" w:styleId="226">
    <w:name w:val="Body Text Indent 3 Char"/>
    <w:qFormat/>
    <w:uiPriority w:val="0"/>
    <w:rPr>
      <w:rFonts w:ascii="Arial" w:hAnsi="Arial" w:cs="Arial"/>
      <w:bCs/>
      <w:sz w:val="21"/>
      <w:lang w:val="pt-BR" w:bidi="ar-SA"/>
    </w:rPr>
  </w:style>
  <w:style w:type="character" w:customStyle="1" w:styleId="227">
    <w:name w:val="Corpo de texto Char2"/>
    <w:qFormat/>
    <w:uiPriority w:val="0"/>
    <w:rPr>
      <w:sz w:val="24"/>
      <w:szCs w:val="24"/>
      <w:lang w:val="pt-BR"/>
    </w:rPr>
  </w:style>
  <w:style w:type="character" w:customStyle="1" w:styleId="228">
    <w:name w:val="Corpo de texto 2 Char1"/>
    <w:qFormat/>
    <w:uiPriority w:val="0"/>
    <w:rPr>
      <w:rFonts w:ascii="Arial" w:hAnsi="Arial" w:eastAsia="Times New Roman" w:cs="Times New Roman"/>
      <w:i/>
      <w:sz w:val="20"/>
      <w:szCs w:val="20"/>
      <w:lang w:val="pt-BR"/>
    </w:rPr>
  </w:style>
  <w:style w:type="character" w:customStyle="1" w:styleId="229">
    <w:name w:val="Recuo de corpo de texto 3 Char1"/>
    <w:qFormat/>
    <w:uiPriority w:val="0"/>
    <w:rPr>
      <w:rFonts w:ascii="Arial" w:hAnsi="Arial" w:eastAsia="Times New Roman" w:cs="Times New Roman"/>
      <w:bCs/>
      <w:sz w:val="21"/>
      <w:szCs w:val="20"/>
      <w:lang w:val="pt-BR"/>
    </w:rPr>
  </w:style>
  <w:style w:type="character" w:customStyle="1" w:styleId="230">
    <w:name w:val="Subtitle Char"/>
    <w:qFormat/>
    <w:uiPriority w:val="0"/>
    <w:rPr>
      <w:b/>
      <w:sz w:val="23"/>
      <w:lang w:val="pt-BR"/>
    </w:rPr>
  </w:style>
  <w:style w:type="paragraph" w:customStyle="1" w:styleId="231">
    <w:name w:val="Título11"/>
    <w:basedOn w:val="1"/>
    <w:next w:val="14"/>
    <w:qFormat/>
    <w:uiPriority w:val="0"/>
    <w:pPr>
      <w:keepNext/>
      <w:spacing w:before="240" w:after="120"/>
    </w:pPr>
    <w:rPr>
      <w:rFonts w:ascii="Liberation Sans" w:hAnsi="Liberation Sans" w:eastAsia="Microsoft YaHei" w:cs="Arial"/>
      <w:sz w:val="28"/>
      <w:szCs w:val="28"/>
    </w:rPr>
  </w:style>
  <w:style w:type="paragraph" w:customStyle="1" w:styleId="232">
    <w:name w:val="Índice"/>
    <w:basedOn w:val="1"/>
    <w:qFormat/>
    <w:uiPriority w:val="0"/>
    <w:pPr>
      <w:suppressLineNumbers/>
    </w:pPr>
    <w:rPr>
      <w:rFonts w:cs="Mangal"/>
    </w:rPr>
  </w:style>
  <w:style w:type="paragraph" w:customStyle="1" w:styleId="233">
    <w:name w:val="Cabeçalho e Rodapé"/>
    <w:basedOn w:val="1"/>
    <w:qFormat/>
    <w:uiPriority w:val="0"/>
    <w:pPr>
      <w:suppressLineNumbers/>
      <w:tabs>
        <w:tab w:val="center" w:pos="4819"/>
        <w:tab w:val="right" w:pos="9638"/>
      </w:tabs>
    </w:pPr>
  </w:style>
  <w:style w:type="paragraph" w:customStyle="1" w:styleId="234">
    <w:name w:val="Título1"/>
    <w:basedOn w:val="1"/>
    <w:next w:val="14"/>
    <w:qFormat/>
    <w:uiPriority w:val="0"/>
    <w:pPr>
      <w:overflowPunct w:val="0"/>
      <w:jc w:val="center"/>
      <w:textAlignment w:val="auto"/>
    </w:pPr>
    <w:rPr>
      <w:rFonts w:ascii="Arial" w:hAnsi="Arial" w:cs="Arial"/>
      <w:b/>
      <w:bCs/>
      <w:sz w:val="21"/>
      <w:szCs w:val="24"/>
    </w:r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val="0"/>
      <w:spacing w:before="100" w:after="100"/>
      <w:textAlignment w:val="auto"/>
    </w:pPr>
    <w:rPr>
      <w:sz w:val="24"/>
      <w:szCs w:val="24"/>
    </w:rPr>
  </w:style>
  <w:style w:type="paragraph" w:customStyle="1" w:styleId="237">
    <w:name w:val="msolistparagraph"/>
    <w:basedOn w:val="1"/>
    <w:qFormat/>
    <w:uiPriority w:val="0"/>
    <w:pPr>
      <w:overflowPunct w:val="0"/>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val="0"/>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val="0"/>
      <w:spacing w:before="100" w:after="100"/>
      <w:textAlignment w:val="auto"/>
    </w:pPr>
    <w:rPr>
      <w:sz w:val="24"/>
      <w:szCs w:val="24"/>
    </w:rPr>
  </w:style>
  <w:style w:type="paragraph" w:customStyle="1" w:styleId="241">
    <w:name w:val="msolistparagraphcxsplast"/>
    <w:basedOn w:val="1"/>
    <w:qFormat/>
    <w:uiPriority w:val="0"/>
    <w:pPr>
      <w:overflowPunct w:val="0"/>
      <w:spacing w:before="100" w:after="100"/>
      <w:textAlignment w:val="auto"/>
    </w:pPr>
    <w:rPr>
      <w:sz w:val="24"/>
      <w:szCs w:val="24"/>
    </w:rPr>
  </w:style>
  <w:style w:type="paragraph" w:customStyle="1" w:styleId="242">
    <w:name w:val="western"/>
    <w:basedOn w:val="1"/>
    <w:qFormat/>
    <w:uiPriority w:val="0"/>
    <w:pPr>
      <w:overflowPunct w:val="0"/>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15240</Words>
  <Characters>87918</Characters>
  <Paragraphs>974</Paragraphs>
  <TotalTime>34</TotalTime>
  <ScaleCrop>false</ScaleCrop>
  <LinksUpToDate>false</LinksUpToDate>
  <CharactersWithSpaces>102471</CharactersWithSpaces>
  <Application>WPS Office_11.2.0.11254_F1E327BC-269C-435d-A152-05C5408002CA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2022-08-16T16:36:00Z</cp:lastPrinted>
  <dcterms:modified xsi:type="dcterms:W3CDTF">2022-08-17T12:51:08Z</dcterms:modified>
  <dc:title>Convite nº Número da Modalidade/Ano do Processo </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FB58EE787A794927A5942CBF0B6E3815</vt:lpwstr>
  </property>
  <property fmtid="{D5CDD505-2E9C-101B-9397-08002B2CF9AE}" pid="3" name="KSOProductBuildVer">
    <vt:lpwstr>1046-11.2.0.11254</vt:lpwstr>
  </property>
  <property fmtid="{D5CDD505-2E9C-101B-9397-08002B2CF9AE}" pid="4" name="glbJ?Salvou">
    <vt:lpwstr>glbJáSalvou</vt:lpwstr>
  </property>
  <property fmtid="{D5CDD505-2E9C-101B-9397-08002B2CF9AE}" pid="5" name="glbLinkTopic">
    <vt:lpwstr>glbLinkTopic</vt:lpwstr>
  </property>
  <property fmtid="{D5CDD505-2E9C-101B-9397-08002B2CF9AE}" pid="6" name="glbNomeAplicativo">
    <vt:lpwstr>glbNomeAplicativo</vt:lpwstr>
  </property>
  <property fmtid="{D5CDD505-2E9C-101B-9397-08002B2CF9AE}" pid="7" name="glbObjetoLink">
    <vt:lpwstr>glbObjetoLink</vt:lpwstr>
  </property>
  <property fmtid="{D5CDD505-2E9C-101B-9397-08002B2CF9AE}" pid="8" name="glbPathAplica??o">
    <vt:lpwstr>glbPathAplicação</vt:lpwstr>
  </property>
  <property fmtid="{D5CDD505-2E9C-101B-9397-08002B2CF9AE}" pid="9" name="glbProcessandoFormata??o">
    <vt:lpwstr>glbProcessandoFormatação</vt:lpwstr>
  </property>
  <property fmtid="{D5CDD505-2E9C-101B-9397-08002B2CF9AE}" pid="10" name="glbQuerysUtilizadas">
    <vt:lpwstr>glbQuerysUtilizadas</vt:lpwstr>
  </property>
  <property fmtid="{D5CDD505-2E9C-101B-9397-08002B2CF9AE}" pid="11" name="glbT?tuloAplicativo">
    <vt:lpwstr>glbTítuloAplicativo</vt:lpwstr>
  </property>
  <property fmtid="{D5CDD505-2E9C-101B-9397-08002B2CF9AE}" pid="12" name="glbUltimaAtualiza??o">
    <vt:lpwstr>glbUltimaAtualização</vt:lpwstr>
  </property>
  <property fmtid="{D5CDD505-2E9C-101B-9397-08002B2CF9AE}" pid="13" name="glbVers?o">
    <vt:lpwstr>glbVersão</vt:lpwstr>
  </property>
  <property fmtid="{D5CDD505-2E9C-101B-9397-08002B2CF9AE}" pid="14" name="glbVers?oDocumento">
    <vt:lpwstr>glbVersãoDocumento</vt:lpwstr>
  </property>
</Properties>
</file>