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bookmarkStart w:id="0" w:name="_GoBack"/>
      <w:bookmarkEnd w:id="0"/>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02</w:t>
      </w:r>
      <w:r>
        <w:rPr>
          <w:rFonts w:eastAsia="Times New Roman"/>
          <w:iCs/>
          <w:sz w:val="24"/>
          <w:szCs w:val="24"/>
          <w:lang w:eastAsia="pt-BR"/>
        </w:rPr>
        <w:t xml:space="preserve"> de </w:t>
      </w:r>
      <w:r>
        <w:rPr>
          <w:rFonts w:hint="default" w:eastAsia="Times New Roman"/>
          <w:iCs/>
          <w:sz w:val="24"/>
          <w:szCs w:val="24"/>
          <w:lang w:val="en-US" w:eastAsia="pt-BR"/>
        </w:rPr>
        <w:t>setembro</w:t>
      </w:r>
      <w:r>
        <w:rPr>
          <w:rFonts w:eastAsia="Times New Roman"/>
          <w:iCs/>
          <w:sz w:val="24"/>
          <w:szCs w:val="24"/>
          <w:lang w:eastAsia="pt-BR"/>
        </w:rPr>
        <w:t xml:space="preserve"> de 202</w:t>
      </w:r>
      <w:r>
        <w:rPr>
          <w:rFonts w:hint="default" w:eastAsia="Times New Roman"/>
          <w:iCs/>
          <w:sz w:val="24"/>
          <w:szCs w:val="24"/>
          <w:lang w:val="en-US" w:eastAsia="pt-BR"/>
        </w:rPr>
        <w:t>2</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266/2022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009/2022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hint="default"/>
          <w:sz w:val="22"/>
          <w:lang w:val="pt-BR"/>
        </w:rPr>
        <w:t xml:space="preserve"> e suas alterações pela Portaria nº 304 de 25 maio de 2022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sz w:val="24"/>
          <w:szCs w:val="24"/>
          <w:lang w:val="en-US" w:eastAsia="pt-BR"/>
        </w:rPr>
        <w:t xml:space="preserve"> </w:t>
      </w:r>
      <w:r>
        <w:rPr>
          <w:rFonts w:hint="default" w:eastAsia="Times New Roman"/>
          <w:b/>
          <w:bCs/>
          <w:sz w:val="24"/>
          <w:szCs w:val="24"/>
          <w:lang w:val="en-US" w:eastAsia="pt-BR"/>
        </w:rPr>
        <w:t>07 de outubro de 2022</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08h15min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r>
        <w:rPr>
          <w:rFonts w:eastAsia="Times New Roman"/>
          <w:iCs/>
          <w:sz w:val="24"/>
          <w:szCs w:val="24"/>
          <w:lang w:eastAsia="pt-BR"/>
        </w:rPr>
        <w:t xml:space="preserve">Objeto da presente licitação é a </w:t>
      </w:r>
      <w:r>
        <w:rPr>
          <w:rFonts w:hint="default" w:eastAsia="Times New Roman"/>
          <w:b/>
          <w:bCs/>
          <w:iCs/>
          <w:sz w:val="24"/>
          <w:szCs w:val="24"/>
          <w:lang w:eastAsia="pt-BR"/>
        </w:rPr>
        <w:t>CONTRATAÇÃO DE EMPRESA ESPECIALIZADA NA EXECUÇÃO DA OBRA DE INFRAESTRUTURA URBANA – REVITALIZAÇÃO COM RESTAURAÇÃO FUNCIONAL DO PAVIMENTO, IMPLANTAÇÃO E SUBSTITUIÇÃO DO SISTEMA DE ILUMINAÇÃO PÚBLICA COM LUMINÁRIAS DE LED EM DIVERSAS RUAS DO MUNICÍPIO, CONFORME TERMO DE REFERÊNCIA PARA ATENDER DEMANDA DA GERÊNCIA DE OBRAS DO MUNICÍPIO DE NAVIRAÍ/MS. PEDIDO DE SERVIÇOS N° 359/2022.</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009/2022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07/10/2022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08h15min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009/2022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07/10/2022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08h15min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Execução de Pavimento com Aplicação de Concreto Asfáltico, Camada de Rolamento - Exclusive Carga e Transporte;</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Luminárias de LED para iluminação Pública, tensão de entrada de 90 a 305VCA - 50 a 60HZ, potencia nominal máxima de 150w;</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Poste Ornamental de Ferro galvanizado a fogo telecônico reto 12 metros de altura - fornecimento e instalação;</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 xml:space="preserve">Suporte tipo pétala com 4 luminárias de LED 150w; </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 nas quantidades mínimas relacionadas;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hint="default" w:eastAsia="Times New Roman"/>
          <w:b/>
          <w:bCs/>
          <w:iCs/>
          <w:sz w:val="24"/>
          <w:szCs w:val="24"/>
          <w:lang w:val="en-US"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7.987.590,48</w:t>
      </w:r>
      <w:r>
        <w:rPr>
          <w:rFonts w:eastAsia="Times New Roman"/>
          <w:b/>
          <w:bCs/>
          <w:iCs/>
          <w:sz w:val="24"/>
          <w:szCs w:val="24"/>
          <w:lang w:eastAsia="pt-BR"/>
        </w:rPr>
        <w:t xml:space="preserve"> (</w:t>
      </w:r>
      <w:r>
        <w:rPr>
          <w:rFonts w:hint="default" w:eastAsia="Times New Roman"/>
          <w:b/>
          <w:bCs/>
          <w:iCs/>
          <w:sz w:val="24"/>
          <w:szCs w:val="24"/>
          <w:lang w:val="en-US" w:eastAsia="pt-BR"/>
        </w:rPr>
        <w:t>sete milhões novecentos e oitenta e sete mil quinhentos e noventa reais e quarenta e oito centavos</w:t>
      </w:r>
      <w:r>
        <w:rPr>
          <w:rFonts w:eastAsia="Times New Roman"/>
          <w:b/>
          <w:bCs/>
          <w:iCs/>
          <w:sz w:val="24"/>
          <w:szCs w:val="24"/>
          <w:lang w:eastAsia="pt-BR"/>
        </w:rPr>
        <w:t>)</w:t>
      </w:r>
      <w:r>
        <w:rPr>
          <w:rFonts w:hint="default" w:eastAsia="Times New Roman"/>
          <w:b/>
          <w:bCs/>
          <w:iCs/>
          <w:sz w:val="24"/>
          <w:szCs w:val="24"/>
          <w:lang w:val="en-US"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7.6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tabs>
          <w:tab w:val="left" w:pos="2475"/>
        </w:tabs>
        <w:overflowPunct w:val="0"/>
        <w:autoSpaceDE w:val="0"/>
        <w:autoSpaceDN w:val="0"/>
        <w:adjustRightInd w:val="0"/>
        <w:spacing w:after="0" w:line="240" w:lineRule="auto"/>
        <w:ind w:left="567" w:hanging="567"/>
        <w:jc w:val="both"/>
        <w:textAlignment w:val="baseline"/>
        <w:rPr>
          <w:rFonts w:hint="default" w:eastAsia="Times New Roman"/>
          <w:sz w:val="24"/>
          <w:szCs w:val="24"/>
          <w:highlight w:val="cyan"/>
          <w:lang w:val="en-US"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highlight w:val="none"/>
          <w:lang w:eastAsia="pt-BR"/>
        </w:rPr>
      </w:pPr>
      <w:r>
        <w:rPr>
          <w:rFonts w:hint="default" w:eastAsia="Times New Roman"/>
          <w:sz w:val="24"/>
          <w:szCs w:val="24"/>
          <w:highlight w:val="none"/>
          <w:lang w:val="en-US" w:eastAsia="pt-BR"/>
        </w:rPr>
        <w:t xml:space="preserve">7.6.1 </w:t>
      </w:r>
      <w:r>
        <w:rPr>
          <w:rFonts w:eastAsia="Times New Roman"/>
          <w:iCs/>
          <w:sz w:val="24"/>
          <w:szCs w:val="24"/>
          <w:highlight w:val="none"/>
          <w:lang w:eastAsia="pt-BR"/>
        </w:rPr>
        <w:t xml:space="preserve">A </w:t>
      </w:r>
      <w:r>
        <w:rPr>
          <w:rFonts w:hint="default" w:eastAsia="Times New Roman"/>
          <w:iCs/>
          <w:sz w:val="24"/>
          <w:szCs w:val="24"/>
          <w:highlight w:val="none"/>
          <w:lang w:val="en-US" w:eastAsia="pt-BR"/>
        </w:rPr>
        <w:t>Garantia</w:t>
      </w:r>
      <w:r>
        <w:rPr>
          <w:rFonts w:eastAsia="Times New Roman"/>
          <w:iCs/>
          <w:sz w:val="24"/>
          <w:szCs w:val="24"/>
          <w:highlight w:val="none"/>
          <w:lang w:eastAsia="pt-BR"/>
        </w:rPr>
        <w:t xml:space="preserve">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highlight w:val="none"/>
          <w:lang w:eastAsia="pt-BR"/>
        </w:rPr>
      </w:pP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Caução em dinheiro ou títulos da divida Publica;</w:t>
      </w: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Seguro-garantia;</w:t>
      </w: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highlight w:val="none"/>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iCs/>
          <w:sz w:val="24"/>
          <w:szCs w:val="24"/>
          <w:highlight w:val="none"/>
          <w:lang w:val="en-US" w:eastAsia="pt-BR"/>
        </w:rPr>
        <w:t xml:space="preserve">7.6.1.1 </w:t>
      </w:r>
      <w:r>
        <w:rPr>
          <w:rFonts w:eastAsia="Times New Roman"/>
          <w:iCs/>
          <w:sz w:val="24"/>
          <w:szCs w:val="24"/>
          <w:highlight w:val="none"/>
          <w:lang w:eastAsia="pt-BR"/>
        </w:rPr>
        <w:tab/>
      </w:r>
      <w:r>
        <w:rPr>
          <w:rFonts w:eastAsia="Times New Roman"/>
          <w:iCs/>
          <w:sz w:val="24"/>
          <w:szCs w:val="24"/>
          <w:highlight w:val="none"/>
          <w:lang w:eastAsia="pt-BR"/>
        </w:rPr>
        <w:t>No caso de caução em dinheiro a licitante deverá efetuar o depósito identificado em nome da empresa no banco Caixa Econômica Federal – Agência 0787 – Operação 006 – Conta Corrente 00000047-6.</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numPr>
          <w:ilvl w:val="0"/>
          <w:numId w:val="17"/>
        </w:numPr>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DA CAUÇÃO</w:t>
      </w:r>
    </w:p>
    <w:p>
      <w:pPr>
        <w:keepNext/>
        <w:keepLines/>
        <w:widowControl w:val="0"/>
        <w:numPr>
          <w:ilvl w:val="0"/>
          <w:numId w:val="0"/>
        </w:numPr>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4"/>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06</w:t>
      </w:r>
      <w:r>
        <w:rPr>
          <w:rFonts w:eastAsia="Times New Roman"/>
          <w:b/>
          <w:sz w:val="24"/>
          <w:szCs w:val="24"/>
          <w:lang w:eastAsia="pt-BR"/>
        </w:rPr>
        <w:t xml:space="preserve"> (</w:t>
      </w:r>
      <w:r>
        <w:rPr>
          <w:rFonts w:hint="default" w:eastAsia="Times New Roman"/>
          <w:b/>
          <w:sz w:val="24"/>
          <w:szCs w:val="24"/>
          <w:lang w:val="en-US" w:eastAsia="pt-BR"/>
        </w:rPr>
        <w:t>SEIS</w:t>
      </w:r>
      <w:r>
        <w:rPr>
          <w:rFonts w:eastAsia="Times New Roman"/>
          <w:b/>
          <w:sz w:val="24"/>
          <w:szCs w:val="24"/>
          <w:lang w:eastAsia="pt-BR"/>
        </w:rPr>
        <w:t xml:space="preserve">) </w:t>
      </w:r>
      <w:r>
        <w:rPr>
          <w:rFonts w:hint="default" w:eastAsia="Times New Roman"/>
          <w:b/>
          <w:sz w:val="24"/>
          <w:szCs w:val="24"/>
          <w:lang w:val="en-US" w:eastAsia="pt-BR"/>
        </w:rPr>
        <w:t>MESES</w:t>
      </w:r>
      <w:r>
        <w:rPr>
          <w:rFonts w:eastAsia="Times New Roman"/>
          <w:b/>
          <w:sz w:val="24"/>
          <w:szCs w:val="24"/>
          <w:lang w:eastAsia="pt-BR"/>
        </w:rPr>
        <w:t xml:space="preserve">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07</w:t>
      </w:r>
      <w:r>
        <w:rPr>
          <w:rFonts w:eastAsia="Times New Roman"/>
          <w:b/>
          <w:sz w:val="24"/>
          <w:szCs w:val="24"/>
          <w:lang w:eastAsia="pt-BR"/>
        </w:rPr>
        <w:t xml:space="preserve"> (</w:t>
      </w:r>
      <w:r>
        <w:rPr>
          <w:rFonts w:hint="default" w:eastAsia="Times New Roman"/>
          <w:b/>
          <w:sz w:val="24"/>
          <w:szCs w:val="24"/>
          <w:lang w:val="en-US" w:eastAsia="pt-BR"/>
        </w:rPr>
        <w:t>SETE</w:t>
      </w:r>
      <w:r>
        <w:rPr>
          <w:rFonts w:eastAsia="Times New Roman"/>
          <w:b/>
          <w:sz w:val="24"/>
          <w:szCs w:val="24"/>
          <w:lang w:eastAsia="pt-BR"/>
        </w:rPr>
        <w:t>)</w:t>
      </w:r>
      <w:r>
        <w:rPr>
          <w:rFonts w:eastAsia="Times New Roman"/>
          <w:b/>
          <w:bCs w:val="0"/>
          <w:sz w:val="24"/>
          <w:szCs w:val="24"/>
          <w:lang w:eastAsia="pt-BR"/>
        </w:rPr>
        <w:t xml:space="preserve"> </w:t>
      </w:r>
      <w:r>
        <w:rPr>
          <w:rFonts w:hint="default" w:eastAsia="Times New Roman"/>
          <w:b/>
          <w:bCs w:val="0"/>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10</w:t>
      </w:r>
      <w:r>
        <w:rPr>
          <w:rFonts w:eastAsia="Times New Roman"/>
          <w:iCs/>
          <w:sz w:val="24"/>
          <w:szCs w:val="24"/>
          <w:lang w:eastAsia="pt-BR"/>
        </w:rPr>
        <w:t xml:space="preserve">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1</w:t>
      </w:r>
      <w:r>
        <w:rPr>
          <w:rFonts w:eastAsia="Times New Roman"/>
          <w:iCs/>
          <w:sz w:val="24"/>
          <w:szCs w:val="24"/>
          <w:lang w:eastAsia="pt-BR"/>
        </w:rPr>
        <w:t xml:space="preserve">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2</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3</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30</w:t>
      </w:r>
      <w:r>
        <w:rPr>
          <w:rFonts w:eastAsia="Times New Roman"/>
          <w:iCs/>
          <w:sz w:val="24"/>
          <w:szCs w:val="24"/>
          <w:lang w:eastAsia="pt-BR"/>
        </w:rPr>
        <w:t xml:space="preserve">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20</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de Recurso Federal</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ind w:left="0" w:right="-1" w:firstLine="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0104.15.451.401.1.5</w:t>
            </w:r>
            <w:r>
              <w:rPr>
                <w:rFonts w:hint="default" w:eastAsia="MS Mincho;ＭＳ 明朝"/>
                <w:b/>
                <w:i w:val="0"/>
                <w:iCs/>
                <w:sz w:val="24"/>
                <w:szCs w:val="24"/>
                <w:lang w:val="pt-BR"/>
              </w:rPr>
              <w:t>-</w:t>
            </w:r>
            <w:r>
              <w:rPr>
                <w:rFonts w:eastAsia="MS Mincho;ＭＳ 明朝"/>
                <w:b/>
                <w:i w:val="0"/>
                <w:iCs/>
                <w:sz w:val="24"/>
                <w:szCs w:val="24"/>
              </w:rPr>
              <w:t>44</w:t>
            </w:r>
            <w:r>
              <w:rPr>
                <w:rFonts w:hint="default" w:eastAsia="MS Mincho;ＭＳ 明朝"/>
                <w:b/>
                <w:i w:val="0"/>
                <w:iCs/>
                <w:sz w:val="24"/>
                <w:szCs w:val="24"/>
                <w:lang w:val="pt-BR"/>
              </w:rPr>
              <w:t>.</w:t>
            </w:r>
            <w:r>
              <w:rPr>
                <w:rFonts w:eastAsia="MS Mincho;ＭＳ 明朝"/>
                <w:b/>
                <w:i w:val="0"/>
                <w:iCs/>
                <w:sz w:val="24"/>
                <w:szCs w:val="24"/>
              </w:rPr>
              <w:t>90</w:t>
            </w:r>
            <w:r>
              <w:rPr>
                <w:rFonts w:hint="default" w:eastAsia="MS Mincho;ＭＳ 明朝"/>
                <w:b/>
                <w:i w:val="0"/>
                <w:iCs/>
                <w:sz w:val="24"/>
                <w:szCs w:val="24"/>
                <w:lang w:val="pt-BR"/>
              </w:rPr>
              <w:t>.</w:t>
            </w:r>
            <w:r>
              <w:rPr>
                <w:rFonts w:eastAsia="MS Mincho;ＭＳ 明朝"/>
                <w:b/>
                <w:i w:val="0"/>
                <w:iCs/>
                <w:sz w:val="24"/>
                <w:szCs w:val="24"/>
              </w:rPr>
              <w:t>51</w:t>
            </w:r>
            <w:r>
              <w:rPr>
                <w:rFonts w:hint="default" w:eastAsia="MS Mincho;ＭＳ 明朝"/>
                <w:b/>
                <w:i w:val="0"/>
                <w:iCs/>
                <w:sz w:val="24"/>
                <w:szCs w:val="24"/>
                <w:lang w:val="pt-BR"/>
              </w:rPr>
              <w:t>.</w:t>
            </w:r>
            <w:r>
              <w:rPr>
                <w:rFonts w:eastAsia="MS Mincho;ＭＳ 明朝"/>
                <w:b/>
                <w:i w:val="0"/>
                <w:iCs/>
                <w:sz w:val="24"/>
                <w:szCs w:val="24"/>
              </w:rPr>
              <w:t>00</w:t>
            </w:r>
            <w:r>
              <w:rPr>
                <w:rFonts w:hint="default" w:eastAsia="MS Mincho;ＭＳ 明朝"/>
                <w:b/>
                <w:i w:val="0"/>
                <w:iCs/>
                <w:sz w:val="24"/>
                <w:szCs w:val="24"/>
                <w:lang w:val="pt-BR"/>
              </w:rPr>
              <w:t>.</w:t>
            </w:r>
            <w:r>
              <w:rPr>
                <w:rFonts w:eastAsia="MS Mincho;ＭＳ 明朝"/>
                <w:b/>
                <w:i w:val="0"/>
                <w:iCs/>
                <w:sz w:val="24"/>
                <w:szCs w:val="24"/>
              </w:rPr>
              <w:t>00</w:t>
            </w:r>
            <w:r>
              <w:rPr>
                <w:rFonts w:hint="default" w:eastAsia="MS Mincho;ＭＳ 明朝"/>
                <w:b/>
                <w:i w:val="0"/>
                <w:iCs/>
                <w:sz w:val="24"/>
                <w:szCs w:val="24"/>
                <w:lang w:val="pt-BR"/>
              </w:rPr>
              <w:t xml:space="preserve"> (R 4367).</w:t>
            </w:r>
            <w:r>
              <w:rPr>
                <w:rFonts w:eastAsia="MS Mincho;ＭＳ 明朝"/>
                <w:b/>
                <w:i w:val="0"/>
                <w:iCs/>
                <w:sz w:val="24"/>
                <w:szCs w:val="24"/>
              </w:rPr>
              <w:t xml:space="preserve"> </w:t>
            </w:r>
          </w:p>
        </w:tc>
      </w:tr>
    </w:tbl>
    <w:p>
      <w:pPr>
        <w:keepNext/>
        <w:keepLines/>
        <w:widowControl w:val="0"/>
        <w:numPr>
          <w:ilvl w:val="0"/>
          <w:numId w:val="19"/>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Resumo </w:t>
      </w:r>
      <w:r>
        <w:rPr>
          <w:rFonts w:hint="default"/>
          <w:bCs/>
          <w:iCs/>
          <w:sz w:val="24"/>
          <w:szCs w:val="24"/>
          <w:lang w:val="pt-BR"/>
        </w:rPr>
        <w:t xml:space="preserve">Geral </w:t>
      </w:r>
      <w:r>
        <w:rPr>
          <w:bCs/>
          <w:iCs/>
          <w:sz w:val="24"/>
          <w:szCs w:val="24"/>
          <w:lang w:val="pt-BR"/>
        </w:rPr>
        <w:t>do Orçamento;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de Preço;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Mobilização e Desmobilização;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Quadro de Composição do BDI;</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Memória de Cálculo;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1320220080737;</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1320220091367;</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1320220089326;</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 xml:space="preserve"> Projeto;</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Adriano Hilário Talarico Soletti</w:t>
      </w:r>
      <w:r>
        <w:rPr>
          <w:rFonts w:eastAsia="Times New Roman"/>
          <w:color w:val="000000"/>
          <w:sz w:val="24"/>
          <w:szCs w:val="24"/>
          <w:lang w:eastAsia="pt-BR"/>
        </w:rPr>
        <w:t>, Gerente d</w:t>
      </w:r>
      <w:r>
        <w:rPr>
          <w:rFonts w:hint="default" w:eastAsia="Times New Roman"/>
          <w:color w:val="000000"/>
          <w:sz w:val="24"/>
          <w:szCs w:val="24"/>
          <w:lang w:val="en-US" w:eastAsia="pt-BR"/>
        </w:rPr>
        <w:t>o</w:t>
      </w:r>
      <w:r>
        <w:rPr>
          <w:rFonts w:eastAsia="Times New Roman"/>
          <w:color w:val="000000"/>
          <w:sz w:val="24"/>
          <w:szCs w:val="24"/>
          <w:lang w:eastAsia="pt-BR"/>
        </w:rPr>
        <w:t xml:space="preserve"> </w:t>
      </w:r>
      <w:r>
        <w:rPr>
          <w:rFonts w:hint="default" w:eastAsia="Times New Roman"/>
          <w:color w:val="000000"/>
          <w:sz w:val="24"/>
          <w:szCs w:val="24"/>
          <w:lang w:val="en-US" w:eastAsia="pt-BR"/>
        </w:rPr>
        <w:t>Núcleo de Licitações e Contratos</w:t>
      </w:r>
      <w:r>
        <w:rPr>
          <w:rFonts w:eastAsia="Times New Roman"/>
          <w:color w:val="000000"/>
          <w:sz w:val="24"/>
          <w:szCs w:val="24"/>
          <w:lang w:eastAsia="pt-BR"/>
        </w:rPr>
        <w:t xml:space="preserve"> 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02</w:t>
      </w:r>
      <w:r>
        <w:rPr>
          <w:rFonts w:eastAsia="Times New Roman"/>
          <w:sz w:val="24"/>
          <w:szCs w:val="24"/>
          <w:lang w:eastAsia="pt-BR"/>
        </w:rPr>
        <w:t xml:space="preserve"> de </w:t>
      </w:r>
      <w:r>
        <w:rPr>
          <w:rFonts w:hint="default" w:eastAsia="Times New Roman"/>
          <w:sz w:val="24"/>
          <w:szCs w:val="24"/>
          <w:lang w:val="en-US" w:eastAsia="pt-BR"/>
        </w:rPr>
        <w:t>setembro</w:t>
      </w:r>
      <w:r>
        <w:rPr>
          <w:rFonts w:eastAsia="Times New Roman"/>
          <w:sz w:val="24"/>
          <w:szCs w:val="24"/>
          <w:lang w:eastAsia="pt-BR"/>
        </w:rPr>
        <w:t xml:space="preserve"> de 202</w:t>
      </w:r>
      <w:r>
        <w:rPr>
          <w:rFonts w:hint="default" w:eastAsia="Times New Roman"/>
          <w:sz w:val="24"/>
          <w:szCs w:val="24"/>
          <w:lang w:val="en-US" w:eastAsia="pt-BR"/>
        </w:rPr>
        <w:t>2</w:t>
      </w:r>
      <w:r>
        <w:rPr>
          <w:rFonts w:eastAsia="Times New Roman"/>
          <w:sz w:val="24"/>
          <w:szCs w:val="24"/>
          <w:lang w:eastAsia="pt-BR"/>
        </w:rPr>
        <w:t>.</w:t>
      </w: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Adriano Hilário Talarico Soletti</w:t>
      </w:r>
    </w:p>
    <w:p>
      <w:pPr>
        <w:tabs>
          <w:tab w:val="left" w:pos="-1800"/>
        </w:tabs>
        <w:overflowPunct w:val="0"/>
        <w:autoSpaceDE w:val="0"/>
        <w:autoSpaceDN w:val="0"/>
        <w:adjustRightInd w:val="0"/>
        <w:spacing w:after="0" w:line="240" w:lineRule="auto"/>
        <w:jc w:val="center"/>
        <w:textAlignment w:val="baseline"/>
        <w:rPr>
          <w:rFonts w:hint="default" w:eastAsia="Times New Roman"/>
          <w:color w:val="000000"/>
          <w:sz w:val="24"/>
          <w:szCs w:val="24"/>
          <w:lang w:val="en-US" w:eastAsia="pt-BR"/>
        </w:rPr>
      </w:pPr>
      <w:r>
        <w:rPr>
          <w:rFonts w:eastAsia="Times New Roman"/>
          <w:color w:val="000000"/>
          <w:sz w:val="24"/>
          <w:szCs w:val="24"/>
          <w:lang w:eastAsia="pt-BR"/>
        </w:rPr>
        <w:t>Gerente d</w:t>
      </w:r>
      <w:r>
        <w:rPr>
          <w:rFonts w:hint="default" w:eastAsia="Times New Roman"/>
          <w:color w:val="000000"/>
          <w:sz w:val="24"/>
          <w:szCs w:val="24"/>
          <w:lang w:val="en-US" w:eastAsia="pt-BR"/>
        </w:rPr>
        <w:t>o Núcleo de Licitações e Contratos</w:t>
      </w:r>
    </w:p>
    <w:p>
      <w:pPr>
        <w:tabs>
          <w:tab w:val="left" w:pos="-1800"/>
        </w:tabs>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Times New Roman"/>
          <w:color w:val="000000"/>
          <w:sz w:val="24"/>
          <w:szCs w:val="24"/>
          <w:lang w:eastAsia="pt-BR"/>
        </w:rPr>
        <w:t>Conforme</w:t>
      </w:r>
      <w:r>
        <w:rPr>
          <w:rFonts w:hint="default" w:eastAsia="Times New Roman"/>
          <w:color w:val="000000"/>
          <w:sz w:val="24"/>
          <w:szCs w:val="24"/>
          <w:lang w:val="en-US" w:eastAsia="pt-BR"/>
        </w:rPr>
        <w:t xml:space="preserve"> 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p>
    <w:p>
      <w:pPr>
        <w:rPr>
          <w:rFonts w:eastAsia="Times New Roman"/>
          <w:b/>
          <w:iCs/>
          <w:sz w:val="24"/>
          <w:szCs w:val="24"/>
          <w:lang w:eastAsia="pt-BR"/>
        </w:rPr>
      </w:pPr>
      <w:r>
        <w:rPr>
          <w:rFonts w:eastAsia="Times New Roman"/>
          <w:b/>
          <w:iCs/>
          <w:sz w:val="24"/>
          <w:szCs w:val="24"/>
          <w:lang w:eastAsia="pt-BR"/>
        </w:rPr>
        <w:br w:type="page"/>
      </w:r>
    </w:p>
    <w:p>
      <w:pPr>
        <w:jc w:val="center"/>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2"/>
          <w:szCs w:val="22"/>
          <w:u w:val="single"/>
        </w:rPr>
        <w:t>Jorge Luis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Oasis</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266/2022</w:t>
      </w:r>
      <w:r>
        <w:rPr>
          <w:rFonts w:eastAsia="Times New Roman"/>
          <w:sz w:val="24"/>
          <w:szCs w:val="24"/>
          <w:lang w:eastAsia="pt-BR"/>
        </w:rPr>
        <w:t xml:space="preserve">, gerado pela </w:t>
      </w:r>
      <w:r>
        <w:rPr>
          <w:rFonts w:eastAsia="Times New Roman"/>
          <w:b/>
          <w:sz w:val="24"/>
          <w:szCs w:val="24"/>
          <w:lang w:eastAsia="pt-BR"/>
        </w:rPr>
        <w:t>CONCORRÊNCIA nº. 009/2022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sz w:val="24"/>
          <w:szCs w:val="24"/>
          <w:lang w:eastAsia="pt-BR"/>
        </w:rPr>
        <w:t>CONTRATAÇÃO DE EMPRESA ESPECIALIZADA NA EXECUÇÃO DA OBRA DE INFRAESTRUTURA URBANA – REVITALIZAÇÃO COM RESTAURAÇÃO FUNCIONAL DO PAVIMENTO, IMPLANTAÇÃO E SUBSTITUIÇÃO DO SISTEMA DE ILUMINAÇÃO PÚBLICA COM LUMINÁRIAS DE LED EM DIVERSAS RUAS DO MUNICÍPIO, CONFORME TERMO DE REFERÊNCIA PARA ATENDER DEMANDA DA GERÊNCIA DE OBRAS DO MUNICÍPIO DE NAVIRAÍ/MS. PEDIDO DE SERVIÇOS N° 359/2022</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266/2022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009/2022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w:t>
      </w:r>
      <w:r>
        <w:rPr>
          <w:rFonts w:eastAsia="Times New Roman"/>
          <w:iCs/>
          <w:sz w:val="24"/>
          <w:szCs w:val="24"/>
          <w:lang w:eastAsia="pt-BR"/>
        </w:rPr>
        <w:t>0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val="0"/>
        <w:keepLines w:val="0"/>
        <w:widowControl/>
        <w:suppressLineNumbers w:val="0"/>
        <w:ind w:left="0" w:leftChars="0" w:firstLine="0" w:firstLineChars="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color w:val="000000"/>
          <w:kern w:val="0"/>
          <w:sz w:val="24"/>
          <w:szCs w:val="24"/>
          <w:lang w:val="pt-BR" w:eastAsia="zh-CN" w:bidi="ar"/>
        </w:rPr>
        <w:t>6</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20</w:t>
      </w:r>
      <w:r>
        <w:rPr>
          <w:rFonts w:hint="default" w:ascii="Times New Roman" w:hAnsi="Times New Roman" w:eastAsia="SimSun" w:cs="Times New Roman"/>
          <w:color w:val="000000"/>
          <w:kern w:val="0"/>
          <w:sz w:val="24"/>
          <w:szCs w:val="24"/>
          <w:lang w:val="en-US" w:eastAsia="zh-CN" w:bidi="ar"/>
        </w:rPr>
        <w:t xml:space="preserve">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maio/2022</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w:t>
      </w:r>
      <w:r>
        <w:rPr>
          <w:rFonts w:hint="default" w:ascii="Times New Roman" w:hAnsi="Times New Roman" w:eastAsia="SimSun" w:cs="Times New Roman"/>
          <w:b w:val="0"/>
          <w:bCs w:val="0"/>
          <w:color w:val="000000"/>
          <w:kern w:val="0"/>
          <w:sz w:val="24"/>
          <w:szCs w:val="24"/>
          <w:lang w:val="pt-BR" w:eastAsia="zh-CN" w:bidi="ar"/>
        </w:rPr>
        <w:t>.</w:t>
      </w:r>
      <w:r>
        <w:rPr>
          <w:rFonts w:hint="default" w:eastAsia="SimSun" w:cs="Times New Roman"/>
          <w:b w:val="0"/>
          <w:bCs w:val="0"/>
          <w:color w:val="000000"/>
          <w:kern w:val="0"/>
          <w:sz w:val="24"/>
          <w:szCs w:val="24"/>
          <w:lang w:val="pt-BR" w:eastAsia="zh-CN" w:bidi="ar"/>
        </w:rPr>
        <w:t>20</w:t>
      </w:r>
      <w:r>
        <w:rPr>
          <w:rFonts w:hint="default" w:ascii="Times New Roman" w:hAnsi="Times New Roman" w:eastAsia="SimSun" w:cs="Times New Roman"/>
          <w:b w:val="0"/>
          <w:bCs w:val="0"/>
          <w:color w:val="000000"/>
          <w:kern w:val="0"/>
          <w:sz w:val="24"/>
          <w:szCs w:val="24"/>
          <w:lang w:val="pt-BR" w:eastAsia="zh-CN" w:bidi="ar"/>
        </w:rPr>
        <w:t>.1</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ascii="Times New Roman" w:hAnsi="Times New Roman" w:eastAsia="SimSun" w:cs="Times New Roman"/>
          <w:color w:val="000000"/>
          <w:kern w:val="0"/>
          <w:sz w:val="24"/>
          <w:szCs w:val="24"/>
          <w:lang w:val="pt-BR" w:eastAsia="zh-CN" w:bidi="ar"/>
        </w:rPr>
        <w:t xml:space="preserve">12.19. </w:t>
      </w:r>
      <w:r>
        <w:rPr>
          <w:rFonts w:hint="default" w:ascii="Times New Roman" w:hAnsi="Times New Roman" w:eastAsia="SimSun" w:cs="Times New Roman"/>
          <w:color w:val="000000"/>
          <w:kern w:val="0"/>
          <w:sz w:val="24"/>
          <w:szCs w:val="24"/>
          <w:lang w:val="en-US" w:eastAsia="zh-CN" w:bidi="ar"/>
        </w:rPr>
        <w:t xml:space="preserve"> 0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6.20.</w:t>
      </w:r>
      <w:r>
        <w:rPr>
          <w:rFonts w:hint="default" w:ascii="Times New Roman" w:hAnsi="Times New Roman" w:eastAsia="SimSun" w:cs="Times New Roman"/>
          <w:b w:val="0"/>
          <w:bCs w:val="0"/>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pt-BR" w:bidi="a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7.1      Os recursos financeiros para o cumprimento das obrigações constantes neste edital serão oriundos </w:t>
      </w:r>
      <w:r>
        <w:rPr>
          <w:rFonts w:hint="default" w:eastAsia="Times New Roman"/>
          <w:iCs/>
          <w:sz w:val="24"/>
          <w:szCs w:val="24"/>
          <w:lang w:val="en-US" w:eastAsia="pt-BR"/>
        </w:rPr>
        <w:t>de Recurso Federal</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numPr>
                <w:ilvl w:val="0"/>
                <w:numId w:val="29"/>
              </w:numPr>
              <w:ind w:left="420" w:leftChars="0" w:right="-1" w:hanging="420" w:firstLineChars="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0104.15.451.401.1.5</w:t>
            </w:r>
            <w:r>
              <w:rPr>
                <w:rFonts w:hint="default" w:eastAsia="MS Mincho;ＭＳ 明朝"/>
                <w:b/>
                <w:i w:val="0"/>
                <w:iCs/>
                <w:sz w:val="24"/>
                <w:szCs w:val="24"/>
                <w:lang w:val="pt-BR"/>
              </w:rPr>
              <w:t>-</w:t>
            </w:r>
            <w:r>
              <w:rPr>
                <w:rFonts w:eastAsia="MS Mincho;ＭＳ 明朝"/>
                <w:b/>
                <w:i w:val="0"/>
                <w:iCs/>
                <w:sz w:val="24"/>
                <w:szCs w:val="24"/>
              </w:rPr>
              <w:t>44</w:t>
            </w:r>
            <w:r>
              <w:rPr>
                <w:rFonts w:hint="default" w:eastAsia="MS Mincho;ＭＳ 明朝"/>
                <w:b/>
                <w:i w:val="0"/>
                <w:iCs/>
                <w:sz w:val="24"/>
                <w:szCs w:val="24"/>
                <w:lang w:val="pt-BR"/>
              </w:rPr>
              <w:t>.</w:t>
            </w:r>
            <w:r>
              <w:rPr>
                <w:rFonts w:eastAsia="MS Mincho;ＭＳ 明朝"/>
                <w:b/>
                <w:i w:val="0"/>
                <w:iCs/>
                <w:sz w:val="24"/>
                <w:szCs w:val="24"/>
              </w:rPr>
              <w:t>90</w:t>
            </w:r>
            <w:r>
              <w:rPr>
                <w:rFonts w:hint="default" w:eastAsia="MS Mincho;ＭＳ 明朝"/>
                <w:b/>
                <w:i w:val="0"/>
                <w:iCs/>
                <w:sz w:val="24"/>
                <w:szCs w:val="24"/>
                <w:lang w:val="pt-BR"/>
              </w:rPr>
              <w:t>.</w:t>
            </w:r>
            <w:r>
              <w:rPr>
                <w:rFonts w:eastAsia="MS Mincho;ＭＳ 明朝"/>
                <w:b/>
                <w:i w:val="0"/>
                <w:iCs/>
                <w:sz w:val="24"/>
                <w:szCs w:val="24"/>
              </w:rPr>
              <w:t>51</w:t>
            </w:r>
            <w:r>
              <w:rPr>
                <w:rFonts w:hint="default" w:eastAsia="MS Mincho;ＭＳ 明朝"/>
                <w:b/>
                <w:i w:val="0"/>
                <w:iCs/>
                <w:sz w:val="24"/>
                <w:szCs w:val="24"/>
                <w:lang w:val="pt-BR"/>
              </w:rPr>
              <w:t>.</w:t>
            </w:r>
            <w:r>
              <w:rPr>
                <w:rFonts w:eastAsia="MS Mincho;ＭＳ 明朝"/>
                <w:b/>
                <w:i w:val="0"/>
                <w:iCs/>
                <w:sz w:val="24"/>
                <w:szCs w:val="24"/>
              </w:rPr>
              <w:t>00</w:t>
            </w:r>
            <w:r>
              <w:rPr>
                <w:rFonts w:hint="default" w:eastAsia="MS Mincho;ＭＳ 明朝"/>
                <w:b/>
                <w:i w:val="0"/>
                <w:iCs/>
                <w:sz w:val="24"/>
                <w:szCs w:val="24"/>
                <w:lang w:val="pt-BR"/>
              </w:rPr>
              <w:t>.</w:t>
            </w:r>
            <w:r>
              <w:rPr>
                <w:rFonts w:eastAsia="MS Mincho;ＭＳ 明朝"/>
                <w:b/>
                <w:i w:val="0"/>
                <w:iCs/>
                <w:sz w:val="24"/>
                <w:szCs w:val="24"/>
              </w:rPr>
              <w:t>00</w:t>
            </w:r>
            <w:r>
              <w:rPr>
                <w:rFonts w:hint="default" w:eastAsia="MS Mincho;ＭＳ 明朝"/>
                <w:b/>
                <w:i w:val="0"/>
                <w:iCs/>
                <w:sz w:val="24"/>
                <w:szCs w:val="24"/>
                <w:lang w:val="pt-BR"/>
              </w:rPr>
              <w:t xml:space="preserve"> (R 4367).</w:t>
            </w:r>
            <w:r>
              <w:rPr>
                <w:rFonts w:eastAsia="MS Mincho;ＭＳ 明朝"/>
                <w:b/>
                <w:i w:val="0"/>
                <w:iCs/>
                <w:sz w:val="24"/>
                <w:szCs w:val="24"/>
              </w:rPr>
              <w:t xml:space="preserve"> </w:t>
            </w:r>
          </w:p>
        </w:tc>
      </w:tr>
    </w:tbl>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8.1 O prazo para a realização da obra, objeto desta licitação, será de</w:t>
      </w:r>
      <w:r>
        <w:rPr>
          <w:rFonts w:eastAsia="Times New Roman"/>
          <w:b/>
          <w:bCs/>
          <w:sz w:val="24"/>
          <w:szCs w:val="24"/>
          <w:lang w:eastAsia="pt-BR"/>
        </w:rPr>
        <w:t xml:space="preserve"> </w:t>
      </w:r>
      <w:r>
        <w:rPr>
          <w:rFonts w:hint="default" w:eastAsia="Times New Roman"/>
          <w:b/>
          <w:bCs/>
          <w:sz w:val="24"/>
          <w:szCs w:val="24"/>
          <w:lang w:val="en-US" w:eastAsia="pt-BR"/>
        </w:rPr>
        <w:t>06</w:t>
      </w:r>
      <w:r>
        <w:rPr>
          <w:rFonts w:eastAsia="Times New Roman"/>
          <w:b/>
          <w:sz w:val="24"/>
          <w:szCs w:val="24"/>
          <w:lang w:eastAsia="pt-BR"/>
        </w:rPr>
        <w:t xml:space="preserve"> (</w:t>
      </w:r>
      <w:r>
        <w:rPr>
          <w:rFonts w:hint="default" w:eastAsia="Times New Roman"/>
          <w:b/>
          <w:sz w:val="24"/>
          <w:szCs w:val="24"/>
          <w:lang w:val="en-US" w:eastAsia="pt-BR"/>
        </w:rPr>
        <w:t>SEIS</w:t>
      </w:r>
      <w:r>
        <w:rPr>
          <w:rFonts w:eastAsia="Times New Roman"/>
          <w:b/>
          <w:sz w:val="24"/>
          <w:szCs w:val="24"/>
          <w:lang w:eastAsia="pt-BR"/>
        </w:rPr>
        <w:t xml:space="preserve">) </w:t>
      </w:r>
      <w:r>
        <w:rPr>
          <w:rFonts w:hint="default" w:eastAsia="Times New Roman"/>
          <w:b/>
          <w:sz w:val="24"/>
          <w:szCs w:val="24"/>
          <w:lang w:val="en-US" w:eastAsia="pt-BR"/>
        </w:rPr>
        <w:t>MESES</w:t>
      </w:r>
      <w:r>
        <w:rPr>
          <w:rFonts w:eastAsia="Times New Roman"/>
          <w:sz w:val="24"/>
          <w:szCs w:val="24"/>
          <w:lang w:eastAsia="pt-BR"/>
        </w:rPr>
        <w:t xml:space="preserve">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07</w:t>
      </w:r>
      <w:r>
        <w:rPr>
          <w:rFonts w:eastAsia="Times New Roman"/>
          <w:b/>
          <w:sz w:val="24"/>
          <w:szCs w:val="24"/>
          <w:lang w:eastAsia="pt-BR"/>
        </w:rPr>
        <w:t xml:space="preserve"> (</w:t>
      </w:r>
      <w:r>
        <w:rPr>
          <w:rFonts w:hint="default" w:eastAsia="Times New Roman"/>
          <w:b/>
          <w:sz w:val="24"/>
          <w:szCs w:val="24"/>
          <w:lang w:val="en-US" w:eastAsia="pt-BR"/>
        </w:rPr>
        <w:t>SETE</w:t>
      </w:r>
      <w:r>
        <w:rPr>
          <w:rFonts w:eastAsia="Times New Roman"/>
          <w:b/>
          <w:sz w:val="24"/>
          <w:szCs w:val="24"/>
          <w:lang w:eastAsia="pt-BR"/>
        </w:rPr>
        <w:t>)</w:t>
      </w:r>
      <w:r>
        <w:rPr>
          <w:rFonts w:eastAsia="Times New Roman"/>
          <w:sz w:val="24"/>
          <w:szCs w:val="24"/>
          <w:lang w:eastAsia="pt-BR"/>
        </w:rPr>
        <w:t xml:space="preserve"> </w:t>
      </w:r>
      <w:r>
        <w:rPr>
          <w:rFonts w:hint="default" w:eastAsia="Times New Roman"/>
          <w:b/>
          <w:bCs/>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2</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c>
          <w:tcPr>
            <w:tcW w:w="5637" w:type="dxa"/>
            <w:tcBorders>
              <w:top w:val="nil"/>
              <w:left w:val="nil"/>
              <w:bottom w:val="nil"/>
              <w:right w:val="nil"/>
            </w:tcBorders>
          </w:tcPr>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JORGE LUIS DE LUCIA</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b/>
                <w:iCs/>
                <w:sz w:val="22"/>
                <w:szCs w:val="22"/>
              </w:rPr>
            </w:pPr>
            <w:r>
              <w:rPr>
                <w:rFonts w:eastAsia="MS Mincho"/>
                <w:b/>
                <w:iCs/>
                <w:kern w:val="0"/>
                <w:sz w:val="22"/>
                <w:szCs w:val="22"/>
              </w:rPr>
              <w:t>Conforme Decreto nº 011/2021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rFonts w:eastAsia="Times New Roman"/>
          <w:b/>
          <w:bCs/>
          <w:iCs/>
          <w:sz w:val="24"/>
          <w:szCs w:val="24"/>
          <w:lang w:eastAsia="pt-BR"/>
        </w:rPr>
        <w:br w:type="page"/>
      </w: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rFonts w:hint="default"/>
          <w:b/>
          <w:sz w:val="24"/>
          <w:szCs w:val="24"/>
          <w:lang w:val="pt-BR"/>
        </w:rPr>
        <w:t>266/2022</w:t>
      </w:r>
    </w:p>
    <w:p>
      <w:pPr>
        <w:tabs>
          <w:tab w:val="left" w:pos="10632"/>
          <w:tab w:val="left" w:pos="10773"/>
          <w:tab w:val="left" w:pos="10915"/>
          <w:tab w:val="left" w:pos="11199"/>
        </w:tabs>
        <w:spacing w:line="360" w:lineRule="auto"/>
        <w:ind w:right="46" w:firstLine="0"/>
        <w:jc w:val="both"/>
        <w:rPr>
          <w:b/>
          <w:sz w:val="24"/>
          <w:szCs w:val="24"/>
          <w:lang w:val="pt-BR"/>
        </w:rPr>
      </w:pPr>
      <w:r>
        <w:rPr>
          <w:rFonts w:hint="default"/>
          <w:b/>
          <w:sz w:val="24"/>
          <w:szCs w:val="24"/>
          <w:lang w:val="pt-BR"/>
        </w:rPr>
        <w:t>CONCORRÊNCIA</w:t>
      </w:r>
      <w:r>
        <w:rPr>
          <w:b/>
          <w:sz w:val="24"/>
          <w:szCs w:val="24"/>
        </w:rPr>
        <w:t xml:space="preserve"> Nº.  </w:t>
      </w:r>
      <w:r>
        <w:rPr>
          <w:b/>
          <w:sz w:val="24"/>
          <w:szCs w:val="24"/>
          <w:lang w:val="pt-BR"/>
        </w:rPr>
        <w:t>009/2022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after="0" w:line="240" w:lineRule="auto"/>
        <w:ind w:right="0" w:firstLine="0"/>
        <w:jc w:val="both"/>
        <w:rPr>
          <w:rFonts w:hint="default" w:eastAsia="Times New Roman"/>
          <w:b/>
          <w:bCs/>
          <w:iCs/>
          <w:sz w:val="24"/>
          <w:szCs w:val="24"/>
          <w:lang w:val="pt-BR" w:eastAsia="pt-BR"/>
        </w:rPr>
      </w:pPr>
      <w:r>
        <w:rPr>
          <w:b/>
          <w:bCs/>
          <w:iCs/>
          <w:sz w:val="24"/>
          <w:szCs w:val="24"/>
        </w:rPr>
        <w:t>OBJETO: CONTRATAÇÃO DE EMPRESA ESPECIALIZADA NA EXECUÇÃO DA OBRA DE INFRAESTRUTURA URBANA – REVITALIZAÇÃO COM RESTAURAÇÃO FUNCIONAL DO PAVIMENTO, IMPLANTAÇÃO E SUBSTITUIÇÃO DO SISTEMA DE ILUMINAÇÃO PÚBLICA COM LUMINÁRIAS DE LED EM DIVERSAS RUAS DO MUNICÍPIO, CONFORME TERMO DE REFERÊNCIA PARA ATENDER DEMANDA DA GERÊNCIA DE OBRAS DO MUNICÍPIO DE NAVIRAÍ/MS. PEDIDO DE SERVIÇOS N° 359/2022</w:t>
      </w:r>
      <w:r>
        <w:rPr>
          <w:rFonts w:hint="default"/>
          <w:b/>
          <w:bCs/>
          <w:iCs/>
          <w:sz w:val="24"/>
          <w:szCs w:val="24"/>
          <w:lang w:val="pt-BR"/>
        </w:rPr>
        <w:t>.</w:t>
      </w:r>
    </w:p>
    <w:p>
      <w:pPr>
        <w:tabs>
          <w:tab w:val="left" w:pos="10632"/>
          <w:tab w:val="left" w:pos="10773"/>
          <w:tab w:val="left" w:pos="10915"/>
          <w:tab w:val="left" w:pos="11199"/>
        </w:tabs>
        <w:spacing w:after="0" w:line="240" w:lineRule="auto"/>
        <w:ind w:right="0" w:firstLine="0"/>
        <w:jc w:val="both"/>
        <w:rPr>
          <w:rFonts w:hint="default" w:eastAsia="Times New Roman"/>
          <w:b/>
          <w:bCs/>
          <w:iCs/>
          <w:sz w:val="24"/>
          <w:szCs w:val="24"/>
          <w:lang w:val="en-US" w:eastAsia="pt-BR"/>
        </w:rPr>
      </w:pPr>
    </w:p>
    <w:p>
      <w:pPr>
        <w:spacing w:before="0" w:after="0"/>
        <w:jc w:val="both"/>
        <w:rPr>
          <w:iCs/>
          <w:sz w:val="24"/>
          <w:szCs w:val="24"/>
        </w:rPr>
      </w:pPr>
      <w:r>
        <w:rPr>
          <w:b/>
          <w:iCs/>
          <w:sz w:val="22"/>
          <w:szCs w:val="22"/>
          <w:u w:val="single"/>
        </w:rPr>
        <w:t>Jorge Luis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Oasis</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0"/>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0"/>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0"/>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0"/>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JORGE LUIS DE LUCIA</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266/2022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009/2022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173" w:bottom="1134" w:left="13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009/2022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009/2022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2</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0000001F"/>
    <w:multiLevelType w:val="singleLevel"/>
    <w:tmpl w:val="0000001F"/>
    <w:lvl w:ilvl="0" w:tentative="0">
      <w:start w:val="1"/>
      <w:numFmt w:val="lowerLetter"/>
      <w:lvlText w:val="%1)"/>
      <w:lvlJc w:val="left"/>
      <w:pPr>
        <w:tabs>
          <w:tab w:val="left" w:pos="0"/>
        </w:tabs>
        <w:ind w:left="862" w:hanging="360"/>
      </w:pPr>
    </w:lvl>
  </w:abstractNum>
  <w:abstractNum w:abstractNumId="3">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4">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1">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4">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5">
    <w:nsid w:val="4EC9F667"/>
    <w:multiLevelType w:val="singleLevel"/>
    <w:tmpl w:val="4EC9F66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560E002"/>
    <w:multiLevelType w:val="singleLevel"/>
    <w:tmpl w:val="7560E0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79CBBA8B"/>
    <w:multiLevelType w:val="singleLevel"/>
    <w:tmpl w:val="79CBBA8B"/>
    <w:lvl w:ilvl="0" w:tentative="0">
      <w:start w:val="9"/>
      <w:numFmt w:val="decimal"/>
      <w:lvlText w:val="%1"/>
      <w:lvlJc w:val="left"/>
    </w:lvl>
  </w:abstractNum>
  <w:abstractNum w:abstractNumId="38">
    <w:nsid w:val="79DC4FC7"/>
    <w:multiLevelType w:val="singleLevel"/>
    <w:tmpl w:val="79DC4FC7"/>
    <w:lvl w:ilvl="0" w:tentative="0">
      <w:start w:val="14"/>
      <w:numFmt w:val="decimal"/>
      <w:lvlText w:val="%1"/>
      <w:lvlJc w:val="left"/>
    </w:lvl>
  </w:abstractNum>
  <w:abstractNum w:abstractNumId="39">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3"/>
  </w:num>
  <w:num w:numId="3">
    <w:abstractNumId w:val="22"/>
  </w:num>
  <w:num w:numId="4">
    <w:abstractNumId w:val="24"/>
  </w:num>
  <w:num w:numId="5">
    <w:abstractNumId w:val="26"/>
  </w:num>
  <w:num w:numId="6">
    <w:abstractNumId w:val="25"/>
  </w:num>
  <w:num w:numId="7">
    <w:abstractNumId w:val="2"/>
  </w:num>
  <w:num w:numId="8">
    <w:abstractNumId w:val="5"/>
  </w:num>
  <w:num w:numId="9">
    <w:abstractNumId w:val="11"/>
  </w:num>
  <w:num w:numId="10">
    <w:abstractNumId w:val="19"/>
  </w:num>
  <w:num w:numId="11">
    <w:abstractNumId w:val="7"/>
  </w:num>
  <w:num w:numId="12">
    <w:abstractNumId w:val="31"/>
  </w:num>
  <w:num w:numId="13">
    <w:abstractNumId w:val="27"/>
  </w:num>
  <w:num w:numId="14">
    <w:abstractNumId w:val="35"/>
  </w:num>
  <w:num w:numId="15">
    <w:abstractNumId w:val="14"/>
  </w:num>
  <w:num w:numId="16">
    <w:abstractNumId w:val="29"/>
  </w:num>
  <w:num w:numId="17">
    <w:abstractNumId w:val="37"/>
  </w:num>
  <w:num w:numId="18">
    <w:abstractNumId w:val="20"/>
  </w:num>
  <w:num w:numId="19">
    <w:abstractNumId w:val="38"/>
  </w:num>
  <w:num w:numId="20">
    <w:abstractNumId w:val="28"/>
  </w:num>
  <w:num w:numId="21">
    <w:abstractNumId w:val="16"/>
  </w:num>
  <w:num w:numId="22">
    <w:abstractNumId w:val="17"/>
  </w:num>
  <w:num w:numId="23">
    <w:abstractNumId w:val="18"/>
  </w:num>
  <w:num w:numId="24">
    <w:abstractNumId w:val="39"/>
  </w:num>
  <w:num w:numId="25">
    <w:abstractNumId w:val="0"/>
  </w:num>
  <w:num w:numId="26">
    <w:abstractNumId w:val="6"/>
  </w:num>
  <w:num w:numId="27">
    <w:abstractNumId w:val="21"/>
  </w:num>
  <w:num w:numId="28">
    <w:abstractNumId w:val="34"/>
  </w:num>
  <w:num w:numId="29">
    <w:abstractNumId w:val="36"/>
  </w:num>
  <w:num w:numId="30">
    <w:abstractNumId w:val="8"/>
  </w:num>
  <w:num w:numId="31">
    <w:abstractNumId w:val="10"/>
  </w:num>
  <w:num w:numId="32">
    <w:abstractNumId w:val="23"/>
  </w:num>
  <w:num w:numId="33">
    <w:abstractNumId w:val="33"/>
  </w:num>
  <w:num w:numId="34">
    <w:abstractNumId w:val="13"/>
  </w:num>
  <w:num w:numId="35">
    <w:abstractNumId w:val="30"/>
  </w:num>
  <w:num w:numId="36">
    <w:abstractNumId w:val="32"/>
  </w:num>
  <w:num w:numId="37">
    <w:abstractNumId w:val="12"/>
  </w:num>
  <w:num w:numId="38">
    <w:abstractNumId w:val="15"/>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82C2AA5"/>
    <w:rsid w:val="0A334940"/>
    <w:rsid w:val="0F0B05F7"/>
    <w:rsid w:val="0FB2541E"/>
    <w:rsid w:val="10620E23"/>
    <w:rsid w:val="179B2A38"/>
    <w:rsid w:val="1EFE5101"/>
    <w:rsid w:val="22081387"/>
    <w:rsid w:val="22CA69FF"/>
    <w:rsid w:val="254772DB"/>
    <w:rsid w:val="294B7CE2"/>
    <w:rsid w:val="29D9241B"/>
    <w:rsid w:val="2B6302ED"/>
    <w:rsid w:val="2E7F3479"/>
    <w:rsid w:val="2F2B38E5"/>
    <w:rsid w:val="33F762B4"/>
    <w:rsid w:val="38DC4B70"/>
    <w:rsid w:val="3CCE08B0"/>
    <w:rsid w:val="44D52E23"/>
    <w:rsid w:val="478F1CD9"/>
    <w:rsid w:val="4C1B5AE1"/>
    <w:rsid w:val="4F326536"/>
    <w:rsid w:val="51600241"/>
    <w:rsid w:val="5AEF5AD9"/>
    <w:rsid w:val="5CDD0062"/>
    <w:rsid w:val="631B5B22"/>
    <w:rsid w:val="6C873276"/>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29</TotalTime>
  <ScaleCrop>false</ScaleCrop>
  <LinksUpToDate>false</LinksUpToDate>
  <CharactersWithSpaces>67633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2022-09-05T12:44:16Z</cp:lastPrinted>
  <dcterms:modified xsi:type="dcterms:W3CDTF">2022-09-05T12:59:39Z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D84D846ABC194F28AF93899E71C8F606</vt:lpwstr>
  </property>
</Properties>
</file>