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19</w:t>
      </w:r>
      <w:r>
        <w:rPr>
          <w:rFonts w:eastAsia="Times New Roman"/>
          <w:iCs/>
          <w:sz w:val="24"/>
          <w:szCs w:val="24"/>
          <w:lang w:eastAsia="pt-BR"/>
        </w:rPr>
        <w:t xml:space="preserve"> de </w:t>
      </w:r>
      <w:r>
        <w:rPr>
          <w:rFonts w:hint="default" w:eastAsia="Times New Roman"/>
          <w:iCs/>
          <w:sz w:val="24"/>
          <w:szCs w:val="24"/>
          <w:lang w:val="en-US" w:eastAsia="pt-BR"/>
        </w:rPr>
        <w:t>setembro</w:t>
      </w:r>
      <w:r>
        <w:rPr>
          <w:rFonts w:eastAsia="Times New Roman"/>
          <w:iCs/>
          <w:sz w:val="24"/>
          <w:szCs w:val="24"/>
          <w:lang w:eastAsia="pt-BR"/>
        </w:rPr>
        <w:t xml:space="preserve"> de 202</w:t>
      </w:r>
      <w:r>
        <w:rPr>
          <w:rFonts w:hint="default" w:eastAsia="Times New Roman"/>
          <w:iCs/>
          <w:sz w:val="24"/>
          <w:szCs w:val="24"/>
          <w:lang w:val="en-US" w:eastAsia="pt-BR"/>
        </w:rPr>
        <w:t>2</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283/2022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010/2022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sz w:val="22"/>
          <w:lang w:val="pt-BR"/>
        </w:rPr>
        <w:t>304 de 25 de maio de 2022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MENOR PREÇO GLOBAL</w:t>
      </w:r>
      <w:r>
        <w:rPr>
          <w:rFonts w:hint="default" w:eastAsia="Times New Roman"/>
          <w:b/>
          <w:bCs/>
          <w:iCs/>
          <w:sz w:val="24"/>
          <w:szCs w:val="24"/>
          <w:lang w:val="en-US" w:eastAsia="pt-BR"/>
        </w:rPr>
        <w:t xml:space="preserve"> - Global </w:t>
      </w:r>
      <w:r>
        <w:rPr>
          <w:rFonts w:eastAsia="Times New Roman"/>
          <w:b/>
          <w:bCs/>
          <w:iCs/>
          <w:sz w:val="24"/>
          <w:szCs w:val="24"/>
          <w:lang w:eastAsia="pt-BR"/>
        </w:rPr>
        <w:t xml:space="preserve">,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24 de outubro de 2022</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08h15min</w:t>
      </w:r>
      <w:r>
        <w:rPr>
          <w:rFonts w:eastAsia="Times New Roman"/>
          <w:b/>
          <w:bCs/>
          <w:color w:val="000000"/>
          <w:sz w:val="24"/>
          <w:szCs w:val="24"/>
          <w:highlight w:val="none"/>
          <w:lang w:eastAsia="pt-BR"/>
        </w:rPr>
        <w:t>.</w:t>
      </w:r>
    </w:p>
    <w:p>
      <w:pPr>
        <w:spacing w:after="0"/>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2"/>
        </w:numPr>
        <w:ind w:left="360" w:right="-1" w:hanging="360"/>
        <w:jc w:val="both"/>
        <w:rPr>
          <w:rFonts w:eastAsia="Times New Roman"/>
          <w:b/>
          <w:bCs/>
          <w:iCs/>
          <w:sz w:val="24"/>
          <w:szCs w:val="24"/>
          <w:lang w:eastAsia="pt-BR"/>
        </w:rPr>
      </w:pPr>
      <w:r>
        <w:rPr>
          <w:rFonts w:eastAsia="Times New Roman"/>
          <w:iCs/>
          <w:sz w:val="24"/>
          <w:szCs w:val="24"/>
          <w:lang w:eastAsia="pt-BR"/>
        </w:rPr>
        <w:t xml:space="preserve">Objeto da presente licitação é a </w:t>
      </w:r>
      <w:r>
        <w:rPr>
          <w:b/>
          <w:bCs/>
          <w:iCs/>
          <w:sz w:val="24"/>
          <w:szCs w:val="24"/>
        </w:rPr>
        <w:t xml:space="preserve">CONTRATAÇÃO DE EMPRESA ESPECIALIZADA EM SERVIÇOS DE ENGENHARIA PARA EXECUÇÃO DA OBRA DE REFORMA DO CIEI </w:t>
      </w:r>
      <w:r>
        <w:rPr>
          <w:b/>
          <w:bCs/>
          <w:iCs/>
          <w:sz w:val="24"/>
          <w:szCs w:val="24"/>
          <w:u w:val="single"/>
        </w:rPr>
        <w:t>SONHO DE CRIANÇA</w:t>
      </w:r>
      <w:r>
        <w:rPr>
          <w:b/>
          <w:bCs/>
          <w:iCs/>
          <w:sz w:val="24"/>
          <w:szCs w:val="24"/>
        </w:rPr>
        <w:t>, LOCALIZADO NA RUA PAZ, Nº 155 - CENTRO, CONFORME MEMORIAL DESCRITIVO. SOLICITAÇÃO GERÊNCIA DE OBRAS. PEDIDO DE SERVIÇO Nº 368/2022</w:t>
      </w:r>
      <w:r>
        <w:rPr>
          <w:rFonts w:hint="default"/>
          <w:b/>
          <w:bCs/>
          <w:iCs/>
          <w:sz w:val="24"/>
          <w:szCs w:val="24"/>
          <w:lang w:val="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3"/>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3"/>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3"/>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3"/>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3"/>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010/2022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24/10/2022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08h15min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010/2022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24/10/2022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08h15min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sz w:val="24"/>
          <w:szCs w:val="24"/>
          <w:lang w:eastAsia="pt-BR"/>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4"/>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4"/>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7"/>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Execução de Cobertura;</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 nas quantidades mínimas relacionadas;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8"/>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8"/>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9"/>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8"/>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9"/>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10"/>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1"/>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10"/>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1"/>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1"/>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10"/>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1"/>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2"/>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3"/>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hint="default" w:eastAsia="Times New Roman"/>
          <w:b/>
          <w:bCs/>
          <w:iCs/>
          <w:sz w:val="24"/>
          <w:szCs w:val="24"/>
          <w:lang w:val="en-US"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bCs/>
          <w:iCs/>
          <w:sz w:val="24"/>
          <w:szCs w:val="24"/>
          <w:lang w:val="en-US" w:eastAsia="pt-BR"/>
        </w:rPr>
        <w:t>2.028.339,85</w:t>
      </w:r>
      <w:r>
        <w:rPr>
          <w:rFonts w:eastAsia="Times New Roman"/>
          <w:b/>
          <w:bCs/>
          <w:iCs/>
          <w:sz w:val="24"/>
          <w:szCs w:val="24"/>
          <w:lang w:eastAsia="pt-BR"/>
        </w:rPr>
        <w:t xml:space="preserve"> (</w:t>
      </w:r>
      <w:r>
        <w:rPr>
          <w:rFonts w:hint="default" w:eastAsia="Times New Roman"/>
          <w:b/>
          <w:bCs/>
          <w:iCs/>
          <w:sz w:val="24"/>
          <w:szCs w:val="24"/>
          <w:lang w:val="en-US" w:eastAsia="pt-BR"/>
        </w:rPr>
        <w:t xml:space="preserve"> dois milhões vinte e oito mil trezentos e trinta e nove reais e oitenta e cinco centavos </w:t>
      </w:r>
      <w:r>
        <w:rPr>
          <w:rFonts w:eastAsia="Times New Roman"/>
          <w:b/>
          <w:bCs/>
          <w:iCs/>
          <w:sz w:val="24"/>
          <w:szCs w:val="24"/>
          <w:lang w:eastAsia="pt-BR"/>
        </w:rPr>
        <w:t>)</w:t>
      </w:r>
      <w:r>
        <w:rPr>
          <w:rFonts w:hint="default" w:eastAsia="Times New Roman"/>
          <w:b/>
          <w:bCs/>
          <w:iCs/>
          <w:sz w:val="24"/>
          <w:szCs w:val="24"/>
          <w:lang w:val="en-US"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hint="default" w:eastAsia="Times New Roman"/>
          <w:sz w:val="24"/>
          <w:szCs w:val="24"/>
          <w:lang w:val="en-US" w:eastAsia="pt-BR"/>
        </w:rPr>
        <w:t xml:space="preserve">  </w:t>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7.6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tabs>
          <w:tab w:val="left" w:pos="2475"/>
        </w:tabs>
        <w:overflowPunct w:val="0"/>
        <w:autoSpaceDE w:val="0"/>
        <w:autoSpaceDN w:val="0"/>
        <w:adjustRightInd w:val="0"/>
        <w:spacing w:after="0" w:line="240" w:lineRule="auto"/>
        <w:ind w:left="567" w:hanging="567"/>
        <w:jc w:val="both"/>
        <w:textAlignment w:val="baseline"/>
        <w:rPr>
          <w:rFonts w:hint="default" w:eastAsia="Times New Roman"/>
          <w:sz w:val="24"/>
          <w:szCs w:val="24"/>
          <w:highlight w:val="none"/>
          <w:lang w:val="en-US"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highlight w:val="none"/>
          <w:lang w:eastAsia="pt-BR"/>
        </w:rPr>
      </w:pPr>
      <w:r>
        <w:rPr>
          <w:rFonts w:hint="default" w:eastAsia="Times New Roman"/>
          <w:sz w:val="24"/>
          <w:szCs w:val="24"/>
          <w:highlight w:val="none"/>
          <w:lang w:val="en-US" w:eastAsia="pt-BR"/>
        </w:rPr>
        <w:t xml:space="preserve">7.6.1 </w:t>
      </w:r>
      <w:r>
        <w:rPr>
          <w:rFonts w:eastAsia="Times New Roman"/>
          <w:iCs/>
          <w:sz w:val="24"/>
          <w:szCs w:val="24"/>
          <w:highlight w:val="none"/>
          <w:lang w:eastAsia="pt-BR"/>
        </w:rPr>
        <w:t xml:space="preserve">A </w:t>
      </w:r>
      <w:r>
        <w:rPr>
          <w:rFonts w:hint="default" w:eastAsia="Times New Roman"/>
          <w:iCs/>
          <w:sz w:val="24"/>
          <w:szCs w:val="24"/>
          <w:highlight w:val="none"/>
          <w:lang w:val="en-US" w:eastAsia="pt-BR"/>
        </w:rPr>
        <w:t>Garantia</w:t>
      </w:r>
      <w:r>
        <w:rPr>
          <w:rFonts w:eastAsia="Times New Roman"/>
          <w:iCs/>
          <w:sz w:val="24"/>
          <w:szCs w:val="24"/>
          <w:highlight w:val="none"/>
          <w:lang w:eastAsia="pt-BR"/>
        </w:rPr>
        <w:t xml:space="preserve">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highlight w:val="none"/>
          <w:lang w:eastAsia="pt-BR"/>
        </w:rPr>
      </w:pP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Caução em dinheiro ou títulos da divida Publica;</w:t>
      </w: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Seguro-garantia;</w:t>
      </w: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highlight w:val="none"/>
          <w:lang w:eastAsia="pt-BR"/>
        </w:rPr>
      </w:pPr>
      <w:r>
        <w:rPr>
          <w:rFonts w:eastAsia="Times New Roman"/>
          <w:iCs/>
          <w:sz w:val="24"/>
          <w:szCs w:val="24"/>
          <w:highlight w:val="none"/>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highlight w:val="none"/>
          <w:lang w:eastAsia="pt-BR"/>
        </w:rPr>
      </w:pP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iCs/>
          <w:sz w:val="24"/>
          <w:szCs w:val="24"/>
          <w:highlight w:val="none"/>
          <w:lang w:eastAsia="pt-BR"/>
        </w:rPr>
      </w:pPr>
      <w:r>
        <w:rPr>
          <w:rFonts w:hint="default" w:eastAsia="Times New Roman"/>
          <w:iCs/>
          <w:sz w:val="24"/>
          <w:szCs w:val="24"/>
          <w:highlight w:val="none"/>
          <w:lang w:val="en-US" w:eastAsia="pt-BR"/>
        </w:rPr>
        <w:t xml:space="preserve">7.6.1.1 </w:t>
      </w:r>
      <w:r>
        <w:rPr>
          <w:rFonts w:eastAsia="Times New Roman"/>
          <w:iCs/>
          <w:sz w:val="24"/>
          <w:szCs w:val="24"/>
          <w:highlight w:val="none"/>
          <w:lang w:eastAsia="pt-BR"/>
        </w:rPr>
        <w:t>No caso de caução em dinheiro a licitante deverá efetuar o depósito identificado em nome da empresa no banco Caixa Econômica Federal – Agência 0787 – Operação 006 – Conta Corrente 00000047-6.</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iCs/>
          <w:sz w:val="24"/>
          <w:szCs w:val="24"/>
          <w:highlight w:val="none"/>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6"/>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7"/>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7"/>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7"/>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7"/>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7"/>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5"/>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30</w:t>
      </w:r>
      <w:r>
        <w:rPr>
          <w:rFonts w:eastAsia="Times New Roman"/>
          <w:iCs/>
          <w:sz w:val="24"/>
          <w:szCs w:val="24"/>
          <w:lang w:eastAsia="pt-BR"/>
        </w:rPr>
        <w:t xml:space="preserve"> (</w:t>
      </w:r>
      <w:r>
        <w:rPr>
          <w:rFonts w:hint="default" w:eastAsia="Times New Roman"/>
          <w:iCs/>
          <w:sz w:val="24"/>
          <w:szCs w:val="24"/>
          <w:lang w:val="en-US" w:eastAsia="pt-BR"/>
        </w:rPr>
        <w:t>trinta</w:t>
      </w:r>
      <w:r>
        <w:rPr>
          <w:rFonts w:eastAsia="Times New Roman"/>
          <w:iCs/>
          <w:sz w:val="24"/>
          <w:szCs w:val="24"/>
          <w:lang w:eastAsia="pt-BR"/>
        </w:rPr>
        <w:t>)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Certidão Negativa Final da Obra (CEI) junto ao INSS.</w:t>
      </w:r>
    </w:p>
    <w:p>
      <w:p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9180" w:type="dxa"/>
            <w:shd w:val="clear" w:color="auto" w:fill="auto"/>
          </w:tcPr>
          <w:p>
            <w:pPr>
              <w:numPr>
                <w:ilvl w:val="0"/>
                <w:numId w:val="19"/>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0301.12.361.502.1.11.449051000000 </w:t>
            </w:r>
            <w:r>
              <w:rPr>
                <w:rFonts w:hint="default" w:eastAsia="MS Mincho;ＭＳ 明朝"/>
                <w:b/>
                <w:i w:val="0"/>
                <w:iCs/>
                <w:sz w:val="24"/>
                <w:szCs w:val="24"/>
                <w:lang w:val="pt-BR"/>
              </w:rPr>
              <w:t>(</w:t>
            </w:r>
            <w:r>
              <w:rPr>
                <w:rFonts w:eastAsia="MS Mincho;ＭＳ 明朝"/>
                <w:b/>
                <w:i w:val="0"/>
                <w:iCs/>
                <w:sz w:val="24"/>
                <w:szCs w:val="24"/>
              </w:rPr>
              <w:t>R: 5117</w:t>
            </w:r>
            <w:r>
              <w:rPr>
                <w:rFonts w:hint="default" w:eastAsia="MS Mincho;ＭＳ 明朝"/>
                <w:b/>
                <w:i w:val="0"/>
                <w:iCs/>
                <w:sz w:val="24"/>
                <w:szCs w:val="24"/>
                <w:lang w:val="pt-BR"/>
              </w:rPr>
              <w:t>)</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0301</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5117</w:t>
                  </w:r>
                </w:p>
              </w:tc>
            </w:tr>
          </w:tbl>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p>
      <w:pPr>
        <w:keepNext/>
        <w:keepLines/>
        <w:widowControl w:val="0"/>
        <w:numPr>
          <w:ilvl w:val="0"/>
          <w:numId w:val="20"/>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junho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junho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6"/>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do BDI;</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 xml:space="preserve">Composições; </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r>
        <w:rPr>
          <w:rFonts w:hint="default"/>
          <w:bCs/>
          <w:iCs/>
          <w:sz w:val="24"/>
          <w:szCs w:val="24"/>
          <w:lang w:val="pt-BR"/>
        </w:rPr>
        <w:t>;</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lang w:val="pt-BR"/>
        </w:rPr>
        <w:t>;</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w:t>
      </w:r>
      <w:r>
        <w:rPr>
          <w:bCs/>
          <w:iCs/>
          <w:sz w:val="24"/>
          <w:szCs w:val="24"/>
          <w:lang w:val="pt-BR"/>
        </w:rPr>
        <w:t xml:space="preserve">T nº </w:t>
      </w:r>
      <w:r>
        <w:rPr>
          <w:rFonts w:hint="default"/>
          <w:bCs/>
          <w:iCs/>
          <w:sz w:val="24"/>
          <w:szCs w:val="24"/>
          <w:lang w:val="pt-BR"/>
        </w:rPr>
        <w:t>1320220095839</w:t>
      </w:r>
      <w:r>
        <w:rPr>
          <w:bCs/>
          <w:iCs/>
          <w:sz w:val="24"/>
          <w:szCs w:val="24"/>
          <w:lang w:val="pt-BR"/>
        </w:rPr>
        <w:t>;</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r>
        <w:rPr>
          <w:rFonts w:hint="default"/>
          <w:bCs/>
          <w:iCs/>
          <w:sz w:val="24"/>
          <w:szCs w:val="24"/>
          <w:lang w:val="pt-BR"/>
        </w:rPr>
        <w:t xml:space="preserve"> Arquitetônico</w:t>
      </w:r>
      <w:r>
        <w:rPr>
          <w:bCs/>
          <w:iCs/>
          <w:sz w:val="24"/>
          <w:szCs w:val="24"/>
          <w:lang w:val="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Adriano Hilário Talarico Soletti</w:t>
      </w:r>
      <w:r>
        <w:rPr>
          <w:rFonts w:eastAsia="Times New Roman"/>
          <w:color w:val="000000"/>
          <w:sz w:val="24"/>
          <w:szCs w:val="24"/>
          <w:lang w:eastAsia="pt-BR"/>
        </w:rPr>
        <w:t>, Gerente d</w:t>
      </w:r>
      <w:r>
        <w:rPr>
          <w:rFonts w:hint="default" w:eastAsia="Times New Roman"/>
          <w:color w:val="000000"/>
          <w:sz w:val="24"/>
          <w:szCs w:val="24"/>
          <w:lang w:val="en-US" w:eastAsia="pt-BR"/>
        </w:rPr>
        <w:t>o</w:t>
      </w:r>
      <w:r>
        <w:rPr>
          <w:rFonts w:eastAsia="Times New Roman"/>
          <w:color w:val="000000"/>
          <w:sz w:val="24"/>
          <w:szCs w:val="24"/>
          <w:lang w:eastAsia="pt-BR"/>
        </w:rPr>
        <w:t xml:space="preserve"> </w:t>
      </w:r>
      <w:r>
        <w:rPr>
          <w:rFonts w:hint="default" w:eastAsia="Times New Roman"/>
          <w:color w:val="000000"/>
          <w:sz w:val="24"/>
          <w:szCs w:val="24"/>
          <w:lang w:val="en-US" w:eastAsia="pt-BR"/>
        </w:rPr>
        <w:t>Núcleo de Licitações e Contratos</w:t>
      </w:r>
      <w:r>
        <w:rPr>
          <w:rFonts w:eastAsia="Times New Roman"/>
          <w:color w:val="000000"/>
          <w:sz w:val="24"/>
          <w:szCs w:val="24"/>
          <w:lang w:eastAsia="pt-BR"/>
        </w:rPr>
        <w:t xml:space="preserve"> 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19</w:t>
      </w:r>
      <w:r>
        <w:rPr>
          <w:rFonts w:eastAsia="Times New Roman"/>
          <w:sz w:val="24"/>
          <w:szCs w:val="24"/>
          <w:lang w:eastAsia="pt-BR"/>
        </w:rPr>
        <w:t xml:space="preserve"> de </w:t>
      </w:r>
      <w:r>
        <w:rPr>
          <w:rFonts w:hint="default" w:eastAsia="Times New Roman"/>
          <w:sz w:val="24"/>
          <w:szCs w:val="24"/>
          <w:lang w:val="en-US" w:eastAsia="pt-BR"/>
        </w:rPr>
        <w:t>setembro</w:t>
      </w:r>
      <w:r>
        <w:rPr>
          <w:rFonts w:eastAsia="Times New Roman"/>
          <w:sz w:val="24"/>
          <w:szCs w:val="24"/>
          <w:lang w:eastAsia="pt-BR"/>
        </w:rPr>
        <w:t xml:space="preserve"> de 202</w:t>
      </w:r>
      <w:r>
        <w:rPr>
          <w:rFonts w:hint="default" w:eastAsia="Times New Roman"/>
          <w:sz w:val="24"/>
          <w:szCs w:val="24"/>
          <w:lang w:val="en-US" w:eastAsia="pt-BR"/>
        </w:rPr>
        <w:t>2</w:t>
      </w:r>
      <w:r>
        <w:rPr>
          <w:rFonts w:eastAsia="Times New Roman"/>
          <w:sz w:val="24"/>
          <w:szCs w:val="24"/>
          <w:lang w:eastAsia="pt-BR"/>
        </w:rPr>
        <w:t>.</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Adriano Hilário Talarico Soletti</w:t>
      </w:r>
    </w:p>
    <w:p>
      <w:pPr>
        <w:tabs>
          <w:tab w:val="left" w:pos="-1800"/>
        </w:tabs>
        <w:overflowPunct w:val="0"/>
        <w:autoSpaceDE w:val="0"/>
        <w:autoSpaceDN w:val="0"/>
        <w:adjustRightInd w:val="0"/>
        <w:spacing w:after="0" w:line="240" w:lineRule="auto"/>
        <w:jc w:val="center"/>
        <w:textAlignment w:val="baseline"/>
        <w:rPr>
          <w:rFonts w:hint="default" w:eastAsia="Times New Roman"/>
          <w:color w:val="000000"/>
          <w:sz w:val="24"/>
          <w:szCs w:val="24"/>
          <w:lang w:val="en-US" w:eastAsia="pt-BR"/>
        </w:rPr>
      </w:pPr>
      <w:r>
        <w:rPr>
          <w:rFonts w:eastAsia="Times New Roman"/>
          <w:color w:val="000000"/>
          <w:sz w:val="24"/>
          <w:szCs w:val="24"/>
          <w:lang w:eastAsia="pt-BR"/>
        </w:rPr>
        <w:t>Gerente d</w:t>
      </w:r>
      <w:r>
        <w:rPr>
          <w:rFonts w:hint="default" w:eastAsia="Times New Roman"/>
          <w:color w:val="000000"/>
          <w:sz w:val="24"/>
          <w:szCs w:val="24"/>
          <w:lang w:val="en-US" w:eastAsia="pt-BR"/>
        </w:rPr>
        <w:t>o Núcleo de Licitações e Contratos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 xml:space="preserve">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bookmarkStart w:id="0" w:name="_GoBack"/>
      <w:bookmarkEnd w:id="0"/>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jc w:val="center"/>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283/2022</w:t>
      </w:r>
      <w:r>
        <w:rPr>
          <w:rFonts w:eastAsia="Times New Roman"/>
          <w:sz w:val="24"/>
          <w:szCs w:val="24"/>
          <w:lang w:eastAsia="pt-BR"/>
        </w:rPr>
        <w:t xml:space="preserve">, gerado pela </w:t>
      </w:r>
      <w:r>
        <w:rPr>
          <w:rFonts w:eastAsia="Times New Roman"/>
          <w:b/>
          <w:sz w:val="24"/>
          <w:szCs w:val="24"/>
          <w:lang w:eastAsia="pt-BR"/>
        </w:rPr>
        <w:t>CONCORRÊNCIA nº. 010/2022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b/>
          <w:bCs/>
          <w:iCs/>
          <w:sz w:val="24"/>
          <w:szCs w:val="24"/>
        </w:rPr>
        <w:t xml:space="preserve">CONTRATAÇÃO DE EMPRESA ESPECIALIZADA EM SERVIÇOS DE ENGENHARIA PARA EXECUÇÃO DA OBRA DE REFORMA DO CIEI </w:t>
      </w:r>
      <w:r>
        <w:rPr>
          <w:b/>
          <w:bCs/>
          <w:iCs/>
          <w:sz w:val="24"/>
          <w:szCs w:val="24"/>
          <w:u w:val="single"/>
        </w:rPr>
        <w:t>SONHO DE CRIANÇA</w:t>
      </w:r>
      <w:r>
        <w:rPr>
          <w:b/>
          <w:bCs/>
          <w:iCs/>
          <w:sz w:val="24"/>
          <w:szCs w:val="24"/>
        </w:rPr>
        <w:t>, LOCALIZADO NA RUA PAZ, Nº 155 - CENTRO, CONFORME MEMORIAL DESCRITIVO. SOLICITAÇÃO GERÊNCIA DE OBRAS. PEDIDO DE SERVIÇO Nº 368/2022</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283/2022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010/2022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junho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junho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w:t>
      </w:r>
      <w:r>
        <w:rPr>
          <w:rFonts w:eastAsia="Times New Roman"/>
          <w:iCs/>
          <w:sz w:val="24"/>
          <w:szCs w:val="24"/>
          <w:lang w:eastAsia="pt-BR"/>
        </w:rPr>
        <w:t>0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2</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numPr>
          <w:ilvl w:val="0"/>
          <w:numId w:val="19"/>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0301.12.361.502.1.11.449051000000 </w:t>
      </w:r>
      <w:r>
        <w:rPr>
          <w:rFonts w:hint="default" w:eastAsia="MS Mincho;ＭＳ 明朝"/>
          <w:b/>
          <w:i w:val="0"/>
          <w:iCs/>
          <w:sz w:val="24"/>
          <w:szCs w:val="24"/>
          <w:lang w:val="pt-BR"/>
        </w:rPr>
        <w:t>(</w:t>
      </w:r>
      <w:r>
        <w:rPr>
          <w:rFonts w:eastAsia="MS Mincho;ＭＳ 明朝"/>
          <w:b/>
          <w:i w:val="0"/>
          <w:iCs/>
          <w:sz w:val="24"/>
          <w:szCs w:val="24"/>
        </w:rPr>
        <w:t>R: 5117</w:t>
      </w:r>
      <w:r>
        <w:rPr>
          <w:rFonts w:hint="default" w:eastAsia="MS Mincho;ＭＳ 明朝"/>
          <w:b/>
          <w:i w:val="0"/>
          <w:iCs/>
          <w:sz w:val="24"/>
          <w:szCs w:val="24"/>
          <w:lang w:val="pt-BR"/>
        </w:rPr>
        <w:t>)</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0301</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5117</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cento e dez</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2</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283/2022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010/2022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373" w:bottom="1134" w:left="11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010/2022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010/2022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2</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10139"/>
    <w:multiLevelType w:val="singleLevel"/>
    <w:tmpl w:val="868101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2">
    <w:nsid w:val="CF092B84"/>
    <w:multiLevelType w:val="multilevel"/>
    <w:tmpl w:val="CF092B8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bCs/>
        <w:iCs/>
        <w:color w:val="000000"/>
        <w:sz w:val="24"/>
        <w:szCs w:val="24"/>
      </w:rPr>
    </w:lvl>
    <w:lvl w:ilvl="2" w:tentative="0">
      <w:start w:val="1"/>
      <w:numFmt w:val="decimal"/>
      <w:lvlText w:val="%1.%2.%3"/>
      <w:lvlJc w:val="left"/>
      <w:pPr>
        <w:tabs>
          <w:tab w:val="left" w:pos="862"/>
        </w:tabs>
        <w:ind w:left="862" w:hanging="720"/>
      </w:pPr>
      <w:rPr>
        <w:rFonts w:cs="Times New Roman"/>
        <w:b w:val="0"/>
        <w:bCs/>
        <w:iCs/>
        <w:color w:val="000000"/>
        <w:sz w:val="24"/>
        <w:szCs w:val="24"/>
      </w:rPr>
    </w:lvl>
    <w:lvl w:ilvl="3" w:tentative="0">
      <w:start w:val="1"/>
      <w:numFmt w:val="decimal"/>
      <w:lvlText w:val="%1.%2.%3.%4"/>
      <w:lvlJc w:val="left"/>
      <w:pPr>
        <w:tabs>
          <w:tab w:val="left" w:pos="862"/>
        </w:tabs>
        <w:ind w:left="862" w:hanging="720"/>
      </w:pPr>
      <w:rPr>
        <w:rFonts w:cs="Times New Roman"/>
        <w:b w:val="0"/>
        <w:bCs/>
        <w:iCs/>
        <w:color w:val="000000"/>
        <w:sz w:val="24"/>
        <w:szCs w:val="24"/>
      </w:rPr>
    </w:lvl>
    <w:lvl w:ilvl="4" w:tentative="0">
      <w:start w:val="1"/>
      <w:numFmt w:val="decimal"/>
      <w:lvlText w:val="%1.%2.%3.%4.%5"/>
      <w:lvlJc w:val="left"/>
      <w:pPr>
        <w:tabs>
          <w:tab w:val="left" w:pos="1222"/>
        </w:tabs>
        <w:ind w:left="1222" w:hanging="1080"/>
      </w:pPr>
      <w:rPr>
        <w:rFonts w:cs="Times New Roman"/>
        <w:b w:val="0"/>
        <w:bCs/>
        <w:iCs/>
        <w:color w:val="000000"/>
        <w:sz w:val="24"/>
        <w:szCs w:val="24"/>
      </w:rPr>
    </w:lvl>
    <w:lvl w:ilvl="5" w:tentative="0">
      <w:start w:val="1"/>
      <w:numFmt w:val="decimal"/>
      <w:lvlText w:val="%1.%2.%3.%4.%5.%6"/>
      <w:lvlJc w:val="left"/>
      <w:pPr>
        <w:tabs>
          <w:tab w:val="left" w:pos="1222"/>
        </w:tabs>
        <w:ind w:left="1222" w:hanging="1080"/>
      </w:pPr>
      <w:rPr>
        <w:rFonts w:cs="Times New Roman"/>
        <w:b w:val="0"/>
        <w:bCs/>
        <w:iCs/>
        <w:color w:val="000000"/>
        <w:sz w:val="24"/>
        <w:szCs w:val="24"/>
      </w:rPr>
    </w:lvl>
    <w:lvl w:ilvl="6" w:tentative="0">
      <w:start w:val="1"/>
      <w:numFmt w:val="decimal"/>
      <w:lvlText w:val="%1.%2.%3.%4.%5.%6.%7"/>
      <w:lvlJc w:val="left"/>
      <w:pPr>
        <w:tabs>
          <w:tab w:val="left" w:pos="1222"/>
        </w:tabs>
        <w:ind w:left="1222" w:hanging="1080"/>
      </w:pPr>
      <w:rPr>
        <w:rFonts w:cs="Times New Roman"/>
        <w:b w:val="0"/>
        <w:bCs/>
        <w:iCs/>
        <w:color w:val="000000"/>
        <w:sz w:val="24"/>
        <w:szCs w:val="24"/>
      </w:rPr>
    </w:lvl>
    <w:lvl w:ilvl="7" w:tentative="0">
      <w:start w:val="1"/>
      <w:numFmt w:val="decimal"/>
      <w:lvlText w:val="%1.%2.%3.%4.%5.%6.%7.%8"/>
      <w:lvlJc w:val="left"/>
      <w:pPr>
        <w:tabs>
          <w:tab w:val="left" w:pos="1582"/>
        </w:tabs>
        <w:ind w:left="1582" w:hanging="1440"/>
      </w:pPr>
      <w:rPr>
        <w:rFonts w:cs="Times New Roman"/>
        <w:b w:val="0"/>
        <w:bCs/>
        <w:iCs/>
        <w:color w:val="000000"/>
        <w:sz w:val="24"/>
        <w:szCs w:val="24"/>
      </w:rPr>
    </w:lvl>
    <w:lvl w:ilvl="8" w:tentative="0">
      <w:start w:val="1"/>
      <w:numFmt w:val="decimal"/>
      <w:lvlText w:val="%1.%2.%3.%4.%5.%6.%7.%8.%9"/>
      <w:lvlJc w:val="left"/>
      <w:pPr>
        <w:tabs>
          <w:tab w:val="left" w:pos="1582"/>
        </w:tabs>
        <w:ind w:left="1582" w:hanging="1440"/>
      </w:pPr>
      <w:rPr>
        <w:rFonts w:cs="Times New Roman"/>
        <w:b w:val="0"/>
        <w:bCs/>
        <w:iCs/>
        <w:color w:val="000000"/>
        <w:sz w:val="24"/>
        <w:szCs w:val="24"/>
      </w:rPr>
    </w:lvl>
  </w:abstractNum>
  <w:abstractNum w:abstractNumId="3">
    <w:nsid w:val="0000001F"/>
    <w:multiLevelType w:val="singleLevel"/>
    <w:tmpl w:val="0000001F"/>
    <w:lvl w:ilvl="0" w:tentative="0">
      <w:start w:val="1"/>
      <w:numFmt w:val="lowerLetter"/>
      <w:lvlText w:val="%1)"/>
      <w:lvlJc w:val="left"/>
      <w:pPr>
        <w:tabs>
          <w:tab w:val="left" w:pos="0"/>
        </w:tabs>
        <w:ind w:left="862" w:hanging="360"/>
      </w:pPr>
    </w:lvl>
  </w:abstractNum>
  <w:abstractNum w:abstractNumId="4">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5">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1">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2">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5">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7">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8">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9">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3">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6">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7">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8">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0">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1">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2">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4">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5">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6">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7">
    <w:nsid w:val="79DC4FC7"/>
    <w:multiLevelType w:val="singleLevel"/>
    <w:tmpl w:val="79DC4FC7"/>
    <w:lvl w:ilvl="0" w:tentative="0">
      <w:start w:val="14"/>
      <w:numFmt w:val="decimal"/>
      <w:lvlText w:val="%1"/>
      <w:lvlJc w:val="left"/>
    </w:lvl>
  </w:abstractNum>
  <w:abstractNum w:abstractNumId="38">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2"/>
  </w:num>
  <w:num w:numId="3">
    <w:abstractNumId w:val="4"/>
  </w:num>
  <w:num w:numId="4">
    <w:abstractNumId w:val="24"/>
  </w:num>
  <w:num w:numId="5">
    <w:abstractNumId w:val="26"/>
  </w:num>
  <w:num w:numId="6">
    <w:abstractNumId w:val="27"/>
  </w:num>
  <w:num w:numId="7">
    <w:abstractNumId w:val="21"/>
  </w:num>
  <w:num w:numId="8">
    <w:abstractNumId w:val="3"/>
  </w:num>
  <w:num w:numId="9">
    <w:abstractNumId w:val="6"/>
  </w:num>
  <w:num w:numId="10">
    <w:abstractNumId w:val="12"/>
  </w:num>
  <w:num w:numId="11">
    <w:abstractNumId w:val="20"/>
  </w:num>
  <w:num w:numId="12">
    <w:abstractNumId w:val="8"/>
  </w:num>
  <w:num w:numId="13">
    <w:abstractNumId w:val="32"/>
  </w:num>
  <w:num w:numId="14">
    <w:abstractNumId w:val="28"/>
  </w:num>
  <w:num w:numId="15">
    <w:abstractNumId w:val="36"/>
  </w:num>
  <w:num w:numId="16">
    <w:abstractNumId w:val="15"/>
  </w:num>
  <w:num w:numId="17">
    <w:abstractNumId w:val="30"/>
  </w:num>
  <w:num w:numId="18">
    <w:abstractNumId w:val="22"/>
  </w:num>
  <w:num w:numId="19">
    <w:abstractNumId w:val="0"/>
  </w:num>
  <w:num w:numId="20">
    <w:abstractNumId w:val="37"/>
  </w:num>
  <w:num w:numId="21">
    <w:abstractNumId w:val="29"/>
  </w:num>
  <w:num w:numId="22">
    <w:abstractNumId w:val="17"/>
  </w:num>
  <w:num w:numId="23">
    <w:abstractNumId w:val="18"/>
  </w:num>
  <w:num w:numId="24">
    <w:abstractNumId w:val="19"/>
  </w:num>
  <w:num w:numId="25">
    <w:abstractNumId w:val="38"/>
  </w:num>
  <w:num w:numId="26">
    <w:abstractNumId w:val="1"/>
  </w:num>
  <w:num w:numId="27">
    <w:abstractNumId w:val="7"/>
  </w:num>
  <w:num w:numId="28">
    <w:abstractNumId w:val="23"/>
  </w:num>
  <w:num w:numId="29">
    <w:abstractNumId w:val="35"/>
  </w:num>
  <w:num w:numId="30">
    <w:abstractNumId w:val="9"/>
  </w:num>
  <w:num w:numId="31">
    <w:abstractNumId w:val="11"/>
  </w:num>
  <w:num w:numId="32">
    <w:abstractNumId w:val="25"/>
  </w:num>
  <w:num w:numId="33">
    <w:abstractNumId w:val="34"/>
  </w:num>
  <w:num w:numId="34">
    <w:abstractNumId w:val="14"/>
  </w:num>
  <w:num w:numId="35">
    <w:abstractNumId w:val="31"/>
  </w:num>
  <w:num w:numId="36">
    <w:abstractNumId w:val="33"/>
  </w:num>
  <w:num w:numId="37">
    <w:abstractNumId w:val="13"/>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9FF16F5"/>
    <w:rsid w:val="0A334940"/>
    <w:rsid w:val="179B2A38"/>
    <w:rsid w:val="25D21402"/>
    <w:rsid w:val="29D9241B"/>
    <w:rsid w:val="2B6302ED"/>
    <w:rsid w:val="2C245F63"/>
    <w:rsid w:val="303B334C"/>
    <w:rsid w:val="38DC4B70"/>
    <w:rsid w:val="3CCE08B0"/>
    <w:rsid w:val="40F844FE"/>
    <w:rsid w:val="4C1B5AE1"/>
    <w:rsid w:val="5A476D78"/>
    <w:rsid w:val="5AEF5AD9"/>
    <w:rsid w:val="5CDD0062"/>
    <w:rsid w:val="63F54052"/>
    <w:rsid w:val="68105881"/>
    <w:rsid w:val="6AE07DDC"/>
    <w:rsid w:val="6C0B4482"/>
    <w:rsid w:val="6C873276"/>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31</TotalTime>
  <ScaleCrop>false</ScaleCrop>
  <LinksUpToDate>false</LinksUpToDate>
  <CharactersWithSpaces>67633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2022-09-22T12:37:50Z</cp:lastPrinted>
  <dcterms:modified xsi:type="dcterms:W3CDTF">2022-09-22T12:38:18Z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E041D59A1E2C48FFA0477AA6C7B70F40</vt:lpwstr>
  </property>
</Properties>
</file>