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hint="default" w:eastAsia="Times New Roman"/>
          <w:b/>
          <w:iCs/>
          <w:sz w:val="22"/>
          <w:szCs w:val="22"/>
          <w:u w:val="single"/>
          <w:lang w:val="en-US" w:eastAsia="pt-BR"/>
        </w:rPr>
        <w:t xml:space="preserve"> </w:t>
      </w: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15</w:t>
      </w:r>
      <w:r>
        <w:rPr>
          <w:rFonts w:eastAsia="Times New Roman"/>
          <w:iCs/>
          <w:sz w:val="22"/>
          <w:szCs w:val="22"/>
          <w:lang w:eastAsia="pt-BR"/>
        </w:rPr>
        <w:t xml:space="preserve"> de </w:t>
      </w:r>
      <w:r>
        <w:rPr>
          <w:rFonts w:hint="default" w:eastAsia="Times New Roman"/>
          <w:iCs/>
          <w:sz w:val="22"/>
          <w:szCs w:val="22"/>
          <w:lang w:val="en-US" w:eastAsia="pt-BR"/>
        </w:rPr>
        <w:t>setembro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011/2022</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284/2022</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 xml:space="preserve">por meio de sua Comissão Permanente de Licitação conforme Portaria nº. </w:t>
      </w:r>
      <w:r>
        <w:rPr>
          <w:rFonts w:hint="default"/>
          <w:sz w:val="22"/>
          <w:szCs w:val="22"/>
          <w:lang w:val="pt-BR"/>
        </w:rPr>
        <w:t>304/2022 de 25 maio de 2022</w:t>
      </w:r>
      <w:r>
        <w:rPr>
          <w:iCs/>
          <w:sz w:val="22"/>
          <w:szCs w:val="22"/>
        </w:rPr>
        <w:t xml:space="preserve">, sito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hint="default" w:eastAsia="Times New Roman"/>
          <w:sz w:val="22"/>
          <w:szCs w:val="22"/>
          <w:lang w:val="en-US" w:eastAsia="pt-BR"/>
        </w:rPr>
        <w:t xml:space="preserve"> </w:t>
      </w:r>
      <w:r>
        <w:rPr>
          <w:rFonts w:hint="default" w:eastAsia="Times New Roman"/>
          <w:b/>
          <w:bCs/>
          <w:sz w:val="22"/>
          <w:szCs w:val="22"/>
          <w:lang w:val="en-US" w:eastAsia="pt-BR"/>
        </w:rPr>
        <w:t>13 de outubro de 2022</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w:t>
      </w:r>
      <w:bookmarkStart w:id="0" w:name="_GoBack"/>
      <w:bookmarkEnd w:id="0"/>
      <w:r>
        <w:rPr>
          <w:rFonts w:eastAsia="Times New Roman"/>
          <w:iCs/>
          <w:sz w:val="24"/>
          <w:szCs w:val="24"/>
          <w:lang w:val="pt-BR" w:eastAsia="pt-BR"/>
        </w:rPr>
        <w:t xml:space="preserv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2"/>
          <w:szCs w:val="22"/>
          <w:lang w:eastAsia="pt-BR"/>
        </w:rPr>
      </w:pPr>
      <w:r>
        <w:rPr>
          <w:rFonts w:eastAsia="Times New Roman"/>
          <w:iCs/>
          <w:sz w:val="22"/>
          <w:szCs w:val="22"/>
          <w:lang w:eastAsia="pt-BR"/>
        </w:rPr>
        <w:t xml:space="preserve">Objeto da presente licitação é a </w:t>
      </w:r>
      <w:r>
        <w:rPr>
          <w:b/>
          <w:iCs/>
          <w:sz w:val="22"/>
          <w:szCs w:val="22"/>
        </w:rPr>
        <w:t>CONTRATAÇÃO DE EMPRESA ESPECIALIZADA EM SERVIÇOS DE ENGENHARIA PARA A EXECUÇÃO DA OBRA DE CONSTRUÇÃO DO MURO E CERCAMENTO NO NOVO CEMITÉRIO MUNICIPAL DE NAVIRAÍ. SOLICITAÇÃO DA GERÊNCIA DE OBRAS. PEDIDO DE SERVIÇO Nº 309/2022.</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011/2022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10</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011/2022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10</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011/2022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10</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011/2022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10</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ind w:left="567" w:hanging="567"/>
        <w:jc w:val="both"/>
        <w:rPr>
          <w:rFonts w:eastAsia="Calibri"/>
          <w:sz w:val="22"/>
          <w:szCs w:val="22"/>
        </w:rPr>
      </w:pP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ascii="Times New Roman" w:hAnsi="Times New Roman" w:cs="Times New Roman"/>
          <w:spacing w:val="-3"/>
          <w:sz w:val="22"/>
          <w:szCs w:val="22"/>
        </w:rPr>
      </w:pPr>
      <w:r>
        <w:rPr>
          <w:rFonts w:ascii="Times New Roman" w:hAnsi="Times New Roman" w:cs="Times New Roman"/>
          <w:sz w:val="22"/>
          <w:szCs w:val="22"/>
        </w:rPr>
        <w:t xml:space="preserve">6.1.2.1.2 Atestado fornecido por Pessoa Jurídica de Direito Público ou Privado, com a(s) planilha(s) de serviço(s) devidamente registrado no CREA,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que é</w:t>
      </w:r>
      <w:r>
        <w:rPr>
          <w:rFonts w:ascii="Times New Roman" w:hAnsi="Times New Roman" w:cs="Times New Roman"/>
          <w:sz w:val="22"/>
          <w:szCs w:val="22"/>
        </w:rPr>
        <w:t>;</w:t>
      </w:r>
    </w:p>
    <w:p>
      <w:pPr>
        <w:pStyle w:val="64"/>
        <w:shd w:val="clear" w:color="auto" w:fill="F2F2F2"/>
        <w:ind w:left="851" w:hanging="851"/>
        <w:jc w:val="both"/>
        <w:rPr>
          <w:rFonts w:ascii="Times New Roman" w:hAnsi="Times New Roman" w:cs="Times New Roman"/>
          <w:spacing w:val="-3"/>
          <w:sz w:val="22"/>
          <w:szCs w:val="22"/>
        </w:rPr>
      </w:pPr>
    </w:p>
    <w:p>
      <w:pPr>
        <w:numPr>
          <w:ilvl w:val="0"/>
          <w:numId w:val="11"/>
        </w:numPr>
        <w:overflowPunct/>
        <w:spacing w:before="0" w:after="0" w:line="240" w:lineRule="auto"/>
        <w:ind w:left="420" w:leftChars="0" w:hanging="420" w:firstLineChars="0"/>
        <w:jc w:val="both"/>
        <w:textAlignment w:val="baseline"/>
        <w:rPr>
          <w:rFonts w:hint="default"/>
          <w:b/>
          <w:sz w:val="28"/>
          <w:szCs w:val="28"/>
          <w:lang w:val="pt-BR"/>
        </w:rPr>
      </w:pPr>
      <w:r>
        <w:rPr>
          <w:rFonts w:hint="default"/>
          <w:b/>
          <w:sz w:val="28"/>
          <w:szCs w:val="28"/>
          <w:lang w:val="pt-BR"/>
        </w:rPr>
        <w:t>Fabricação de forma para pilares e estruturas similares, em chapa de madeira compensada plastificada E=18 mm AF_09/2020;</w:t>
      </w:r>
    </w:p>
    <w:p>
      <w:pPr>
        <w:numPr>
          <w:ilvl w:val="0"/>
          <w:numId w:val="11"/>
        </w:numPr>
        <w:overflowPunct/>
        <w:spacing w:before="0" w:after="0" w:line="240" w:lineRule="auto"/>
        <w:ind w:left="420" w:leftChars="0" w:hanging="420" w:firstLineChars="0"/>
        <w:jc w:val="both"/>
        <w:textAlignment w:val="baseline"/>
        <w:rPr>
          <w:rFonts w:hint="default"/>
          <w:b/>
          <w:sz w:val="28"/>
          <w:szCs w:val="28"/>
          <w:lang w:val="pt-BR"/>
        </w:rPr>
      </w:pPr>
      <w:r>
        <w:rPr>
          <w:rFonts w:hint="default"/>
          <w:b/>
          <w:sz w:val="28"/>
          <w:szCs w:val="28"/>
          <w:lang w:val="pt-BR"/>
        </w:rPr>
        <w:t>Alvenaria de vedação de blocos vazados de concreto aparente de 14x19x39 cm (espessura de 14 cm) e argamassa de assentamento com preparo em betoneira AF_12/2021;</w:t>
      </w:r>
    </w:p>
    <w:p>
      <w:pPr>
        <w:numPr>
          <w:ilvl w:val="0"/>
          <w:numId w:val="11"/>
        </w:numPr>
        <w:overflowPunct/>
        <w:spacing w:before="0" w:after="0" w:line="240" w:lineRule="auto"/>
        <w:ind w:left="420" w:leftChars="0" w:hanging="420" w:firstLineChars="0"/>
        <w:jc w:val="both"/>
        <w:textAlignment w:val="baseline"/>
        <w:rPr>
          <w:rFonts w:hint="default"/>
          <w:b/>
          <w:sz w:val="28"/>
          <w:szCs w:val="28"/>
          <w:lang w:val="pt-BR"/>
        </w:rPr>
      </w:pPr>
      <w:r>
        <w:rPr>
          <w:rFonts w:hint="default"/>
          <w:b/>
          <w:sz w:val="28"/>
          <w:szCs w:val="28"/>
          <w:lang w:val="pt-BR"/>
        </w:rPr>
        <w:t>Impermeabilização de superfície com membrana à base de resina acrílica, 03 demãos AF 06/2018;</w:t>
      </w:r>
    </w:p>
    <w:p>
      <w:pPr>
        <w:numPr>
          <w:ilvl w:val="0"/>
          <w:numId w:val="0"/>
        </w:numPr>
        <w:overflowPunct/>
        <w:spacing w:before="0" w:after="0" w:line="240" w:lineRule="auto"/>
        <w:ind w:leftChars="0"/>
        <w:jc w:val="both"/>
        <w:textAlignment w:val="baseline"/>
        <w:rPr>
          <w:rFonts w:hint="default"/>
          <w:b/>
          <w:sz w:val="28"/>
          <w:szCs w:val="28"/>
          <w:lang w:val="pt-BR"/>
        </w:rPr>
      </w:pPr>
    </w:p>
    <w:p>
      <w:pPr>
        <w:overflowPunct/>
        <w:spacing w:before="0" w:after="0" w:line="240" w:lineRule="auto"/>
        <w:ind w:left="720" w:firstLine="0"/>
        <w:jc w:val="both"/>
        <w:textAlignment w:val="baseline"/>
        <w:rPr>
          <w:rFonts w:hint="default"/>
          <w:b/>
          <w:sz w:val="22"/>
          <w:szCs w:val="22"/>
          <w:lang w:val="pt-BR"/>
        </w:rPr>
      </w:pPr>
    </w:p>
    <w:p>
      <w:pPr>
        <w:ind w:right="-1" w:firstLine="0"/>
        <w:jc w:val="both"/>
        <w:rPr>
          <w:iCs/>
          <w:sz w:val="22"/>
          <w:szCs w:val="22"/>
        </w:rPr>
      </w:pPr>
      <w:r>
        <w:rPr>
          <w:iCs/>
          <w:sz w:val="22"/>
          <w:szCs w:val="22"/>
        </w:rPr>
        <w:t>6.1.2.1.3 Somente será (ão) aceito (s) atestado (s) fornecido por pessoas jurídicas de direito público ou privado, devidamente certificados pelo CREA da região onde foram executados os serviços;</w:t>
      </w:r>
    </w:p>
    <w:p>
      <w:pPr>
        <w:ind w:right="-1" w:firstLine="0"/>
        <w:jc w:val="both"/>
        <w:rPr>
          <w:iCs/>
          <w:sz w:val="22"/>
          <w:szCs w:val="22"/>
        </w:rPr>
      </w:pPr>
      <w:r>
        <w:rPr>
          <w:iCs/>
          <w:sz w:val="22"/>
          <w:szCs w:val="22"/>
        </w:rPr>
        <w:t xml:space="preserve">6.1.2.1.4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6.1.2.1.2.</w:t>
      </w:r>
    </w:p>
    <w:p>
      <w:pPr>
        <w:ind w:right="-1" w:firstLine="0"/>
        <w:jc w:val="both"/>
        <w:rPr>
          <w:iCs/>
          <w:sz w:val="22"/>
          <w:szCs w:val="22"/>
        </w:rPr>
      </w:pPr>
      <w:r>
        <w:rPr>
          <w:iCs/>
          <w:sz w:val="22"/>
          <w:szCs w:val="22"/>
        </w:rPr>
        <w:t xml:space="preserve">6.1.2.1.5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jc w:val="both"/>
        <w:rPr>
          <w:sz w:val="22"/>
          <w:szCs w:val="22"/>
        </w:rPr>
      </w:pP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1.504.256,08</w:t>
      </w:r>
      <w:r>
        <w:rPr>
          <w:rFonts w:eastAsia="Times New Roman"/>
          <w:b/>
          <w:bCs/>
          <w:iCs/>
          <w:sz w:val="22"/>
          <w:szCs w:val="22"/>
          <w:lang w:eastAsia="pt-BR"/>
        </w:rPr>
        <w:t xml:space="preserve"> (</w:t>
      </w:r>
      <w:r>
        <w:rPr>
          <w:rFonts w:hint="default" w:eastAsia="Times New Roman"/>
          <w:b/>
          <w:bCs/>
          <w:iCs/>
          <w:sz w:val="22"/>
          <w:szCs w:val="22"/>
          <w:lang w:val="en-US" w:eastAsia="pt-BR"/>
        </w:rPr>
        <w:t xml:space="preserve"> um milhão quinhentos e quatro mil duzentos e cinquenta e seis reais e oito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r>
        <w:rPr>
          <w:rFonts w:hint="default" w:eastAsia="Times New Roman"/>
          <w:sz w:val="22"/>
          <w:szCs w:val="22"/>
          <w:highlight w:val="none"/>
          <w:lang w:val="en-US" w:eastAsia="pt-BR"/>
        </w:rPr>
        <w:t>7.6 -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2"/>
          <w:szCs w:val="22"/>
          <w:highlight w:val="none"/>
          <w:lang w:eastAsia="pt-BR"/>
        </w:rPr>
      </w:pPr>
      <w:r>
        <w:rPr>
          <w:rFonts w:hint="default" w:eastAsia="Times New Roman"/>
          <w:sz w:val="22"/>
          <w:szCs w:val="22"/>
          <w:highlight w:val="none"/>
          <w:lang w:val="en-US" w:eastAsia="pt-BR"/>
        </w:rPr>
        <w:t xml:space="preserve">7.6.1 </w:t>
      </w:r>
      <w:r>
        <w:rPr>
          <w:rFonts w:eastAsia="Times New Roman"/>
          <w:iCs/>
          <w:sz w:val="22"/>
          <w:szCs w:val="22"/>
          <w:highlight w:val="none"/>
          <w:lang w:eastAsia="pt-BR"/>
        </w:rPr>
        <w:t xml:space="preserve">A </w:t>
      </w:r>
      <w:r>
        <w:rPr>
          <w:rFonts w:hint="default" w:eastAsia="Times New Roman"/>
          <w:iCs/>
          <w:sz w:val="22"/>
          <w:szCs w:val="22"/>
          <w:highlight w:val="none"/>
          <w:lang w:val="en-US" w:eastAsia="pt-BR"/>
        </w:rPr>
        <w:t>Garantia</w:t>
      </w:r>
      <w:r>
        <w:rPr>
          <w:rFonts w:eastAsia="Times New Roman"/>
          <w:iCs/>
          <w:sz w:val="22"/>
          <w:szCs w:val="22"/>
          <w:highlight w:val="none"/>
          <w:lang w:eastAsia="pt-BR"/>
        </w:rPr>
        <w:t xml:space="preserve">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2"/>
          <w:szCs w:val="22"/>
          <w:highlight w:val="none"/>
          <w:lang w:eastAsia="pt-BR"/>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2"/>
          <w:szCs w:val="22"/>
          <w:highlight w:val="none"/>
          <w:lang w:eastAsia="pt-BR"/>
        </w:rPr>
      </w:pPr>
      <w:r>
        <w:rPr>
          <w:rFonts w:eastAsia="Times New Roman"/>
          <w:iCs/>
          <w:sz w:val="22"/>
          <w:szCs w:val="22"/>
          <w:highlight w:val="none"/>
          <w:lang w:eastAsia="pt-BR"/>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2"/>
          <w:szCs w:val="22"/>
          <w:highlight w:val="none"/>
          <w:lang w:eastAsia="pt-BR"/>
        </w:rPr>
      </w:pPr>
      <w:r>
        <w:rPr>
          <w:rFonts w:eastAsia="Times New Roman"/>
          <w:iCs/>
          <w:sz w:val="22"/>
          <w:szCs w:val="22"/>
          <w:highlight w:val="none"/>
          <w:lang w:eastAsia="pt-BR"/>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2"/>
          <w:szCs w:val="22"/>
          <w:highlight w:val="none"/>
          <w:lang w:eastAsia="pt-BR"/>
        </w:rPr>
      </w:pPr>
      <w:r>
        <w:rPr>
          <w:rFonts w:eastAsia="Times New Roman"/>
          <w:iCs/>
          <w:sz w:val="22"/>
          <w:szCs w:val="22"/>
          <w:highlight w:val="none"/>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2"/>
          <w:szCs w:val="22"/>
          <w:highlight w:val="none"/>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r>
        <w:rPr>
          <w:rFonts w:hint="default" w:eastAsia="Times New Roman"/>
          <w:iCs/>
          <w:sz w:val="22"/>
          <w:szCs w:val="22"/>
          <w:highlight w:val="none"/>
          <w:lang w:val="en-US" w:eastAsia="pt-BR"/>
        </w:rPr>
        <w:t xml:space="preserve">7.6.1.1 </w:t>
      </w:r>
      <w:r>
        <w:rPr>
          <w:rFonts w:eastAsia="Times New Roman"/>
          <w:iCs/>
          <w:sz w:val="22"/>
          <w:szCs w:val="22"/>
          <w:highlight w:val="none"/>
          <w:lang w:eastAsia="pt-BR"/>
        </w:rPr>
        <w:t>No caso de caução em dinheiro a licitante deverá efetuar o depósito identificado em nome da empresa no banco Caixa Econômica Federal – Agência 0787 – Operação 006 – Conta Corrente 00000047-6.</w:t>
      </w: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8"/>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20"/>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2"/>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3"/>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4"/>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4"/>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4"/>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sz w:val="22"/>
          <w:szCs w:val="22"/>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de </w:t>
      </w:r>
      <w:r>
        <w:rPr>
          <w:rFonts w:hint="default"/>
          <w:b/>
          <w:bCs/>
          <w:sz w:val="22"/>
          <w:szCs w:val="22"/>
          <w:lang w:val="pt-BR"/>
        </w:rPr>
        <w:t>180</w:t>
      </w:r>
      <w:r>
        <w:rPr>
          <w:b/>
          <w:sz w:val="22"/>
          <w:szCs w:val="22"/>
        </w:rPr>
        <w:t xml:space="preserve"> (</w:t>
      </w:r>
      <w:r>
        <w:rPr>
          <w:rFonts w:hint="default"/>
          <w:b/>
          <w:sz w:val="22"/>
          <w:szCs w:val="22"/>
          <w:lang w:val="pt-BR"/>
        </w:rPr>
        <w:t>cento e oitenta</w:t>
      </w:r>
      <w:r>
        <w:rPr>
          <w:b/>
          <w:sz w:val="22"/>
          <w:szCs w:val="22"/>
        </w:rPr>
        <w:t>) dias</w:t>
      </w:r>
      <w:r>
        <w:rPr>
          <w:sz w:val="22"/>
          <w:szCs w:val="22"/>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240</w:t>
      </w:r>
      <w:r>
        <w:rPr>
          <w:b/>
          <w:iCs/>
          <w:sz w:val="22"/>
          <w:szCs w:val="22"/>
        </w:rPr>
        <w:t xml:space="preserve"> </w:t>
      </w:r>
      <w:r>
        <w:rPr>
          <w:b/>
          <w:sz w:val="22"/>
          <w:szCs w:val="22"/>
        </w:rPr>
        <w:t>(</w:t>
      </w:r>
      <w:r>
        <w:rPr>
          <w:rFonts w:hint="default"/>
          <w:b/>
          <w:sz w:val="22"/>
          <w:szCs w:val="22"/>
          <w:lang w:val="pt-BR"/>
        </w:rPr>
        <w:t>duzentos e quarenta</w:t>
      </w:r>
      <w:r>
        <w:rPr>
          <w:b/>
          <w:sz w:val="22"/>
          <w:szCs w:val="22"/>
        </w:rPr>
        <w:t xml:space="preserve">) </w:t>
      </w:r>
      <w:r>
        <w:rPr>
          <w:sz w:val="22"/>
          <w:szCs w:val="22"/>
        </w:rPr>
        <w:t>dias</w:t>
      </w:r>
      <w:r>
        <w:rPr>
          <w:iCs/>
          <w:sz w:val="22"/>
          <w:szCs w:val="22"/>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5"/>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5"/>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5"/>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6"/>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6"/>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6"/>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13.1</w:t>
      </w:r>
      <w:r>
        <w:rPr>
          <w:rFonts w:eastAsia="Times New Roman"/>
          <w:iCs/>
          <w:sz w:val="22"/>
          <w:szCs w:val="22"/>
          <w:lang w:eastAsia="pt-BR"/>
        </w:rPr>
        <w:tab/>
      </w:r>
      <w:r>
        <w:rPr>
          <w:rFonts w:eastAsia="Times New Roman"/>
          <w:iCs/>
          <w:sz w:val="22"/>
          <w:szCs w:val="22"/>
          <w:lang w:eastAsia="pt-BR"/>
        </w:rPr>
        <w:t xml:space="preserve">Os recursos financeiros para o cumprimento das obrigações constantes neste edital serão oriundos do saldo </w:t>
      </w:r>
      <w:r>
        <w:rPr>
          <w:rFonts w:eastAsia="Times New Roman"/>
          <w:iCs/>
          <w:sz w:val="22"/>
          <w:szCs w:val="22"/>
          <w:lang w:val="en-US" w:eastAsia="pt-BR"/>
        </w:rPr>
        <w:t>de Recursos Próprios</w:t>
      </w:r>
      <w:r>
        <w:rPr>
          <w:rFonts w:eastAsia="Times New Roman"/>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7"/>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eastAsia="Times New Roman"/>
          <w:b/>
          <w:iCs/>
          <w:sz w:val="22"/>
          <w:szCs w:val="22"/>
          <w:lang w:eastAsia="pt-BR"/>
        </w:rPr>
        <w:t>G</w:t>
      </w:r>
      <w:r>
        <w:rPr>
          <w:rFonts w:hint="default" w:eastAsia="Times New Roman"/>
          <w:b/>
          <w:iCs/>
          <w:sz w:val="22"/>
          <w:szCs w:val="22"/>
          <w:lang w:val="en-US" w:eastAsia="pt-BR"/>
        </w:rPr>
        <w:t>ABINETE</w:t>
      </w:r>
      <w:r>
        <w:rPr>
          <w:rFonts w:eastAsia="Times New Roman"/>
          <w:b/>
          <w:iCs/>
          <w:sz w:val="22"/>
          <w:szCs w:val="22"/>
          <w:lang w:eastAsia="pt-BR"/>
        </w:rPr>
        <w:t xml:space="preserve"> D</w:t>
      </w:r>
      <w:r>
        <w:rPr>
          <w:rFonts w:hint="default" w:eastAsia="Times New Roman"/>
          <w:b/>
          <w:iCs/>
          <w:sz w:val="22"/>
          <w:szCs w:val="22"/>
          <w:lang w:val="en-US" w:eastAsia="pt-BR"/>
        </w:rPr>
        <w:t>E OBRAS</w:t>
      </w:r>
      <w:r>
        <w:rPr>
          <w:rFonts w:eastAsia="Times New Roman"/>
          <w:b/>
          <w:iCs/>
          <w:sz w:val="22"/>
          <w:szCs w:val="22"/>
          <w:lang w:eastAsia="pt-BR"/>
        </w:rPr>
        <w:t xml:space="preserve"> – DOTAÇÃO ORÇAMENTÁRIA: </w:t>
      </w:r>
      <w:r>
        <w:rPr>
          <w:rFonts w:hint="default" w:eastAsia="Times New Roman"/>
          <w:b/>
          <w:iCs/>
          <w:sz w:val="22"/>
          <w:szCs w:val="22"/>
          <w:lang w:val="en-US" w:eastAsia="pt-BR"/>
        </w:rPr>
        <w:t>01.04.15.451.401.1.3-44.90.51.00.00.00 (R 4363).</w:t>
      </w: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8"/>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15.3</w:t>
      </w:r>
      <w:r>
        <w:rPr>
          <w:sz w:val="22"/>
          <w:szCs w:val="22"/>
        </w:rPr>
        <w:tab/>
      </w:r>
      <w:r>
        <w:rPr>
          <w:sz w:val="22"/>
          <w:szCs w:val="22"/>
        </w:rPr>
        <w:t xml:space="preserve">O prazo estipulado no subitem </w:t>
      </w:r>
      <w:r>
        <w:rPr>
          <w:b/>
          <w:color w:val="FF0000"/>
          <w:sz w:val="22"/>
          <w:szCs w:val="22"/>
        </w:rPr>
        <w:t>15.2</w:t>
      </w:r>
      <w:r>
        <w:rPr>
          <w:sz w:val="22"/>
          <w:szCs w:val="22"/>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sz w:val="22"/>
          <w:szCs w:val="22"/>
        </w:rPr>
      </w:pPr>
      <w:r>
        <w:rPr>
          <w:sz w:val="22"/>
          <w:szCs w:val="22"/>
        </w:rPr>
        <w:t>15.4</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15.5</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15.6</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15.7</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22"/>
          <w:szCs w:val="22"/>
        </w:rPr>
      </w:pP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tabs>
          <w:tab w:val="left" w:pos="-7088"/>
        </w:tabs>
        <w:ind w:left="567" w:right="-1" w:hanging="567"/>
        <w:jc w:val="both"/>
        <w:rPr>
          <w:b/>
          <w:bCs/>
          <w:iCs/>
          <w:sz w:val="22"/>
          <w:szCs w:val="22"/>
        </w:rPr>
      </w:pPr>
    </w:p>
    <w:p>
      <w:pPr>
        <w:numPr>
          <w:ilvl w:val="0"/>
          <w:numId w:val="25"/>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9"/>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9"/>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30"/>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30"/>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1"/>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1"/>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1"/>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30"/>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30"/>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30"/>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30"/>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30"/>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22"/>
          <w:szCs w:val="22"/>
        </w:rPr>
      </w:pP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2"/>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2"/>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PO - </w:t>
      </w:r>
      <w:r>
        <w:rPr>
          <w:bCs/>
          <w:iCs/>
          <w:sz w:val="22"/>
          <w:szCs w:val="22"/>
          <w:lang w:val="pt-BR"/>
        </w:rPr>
        <w:t>Planilha Orçamentária;</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CFF - </w:t>
      </w:r>
      <w:r>
        <w:rPr>
          <w:bCs/>
          <w:iCs/>
          <w:sz w:val="22"/>
          <w:szCs w:val="22"/>
          <w:lang w:val="pt-BR"/>
        </w:rPr>
        <w:t>Cronograma Físico Financeiro</w:t>
      </w:r>
      <w:r>
        <w:rPr>
          <w:rFonts w:hint="default"/>
          <w:bCs/>
          <w:iCs/>
          <w:sz w:val="22"/>
          <w:szCs w:val="22"/>
          <w:lang w:val="pt-BR"/>
        </w:rPr>
        <w:t>-Desonerado</w:t>
      </w:r>
      <w:r>
        <w:rPr>
          <w:bCs/>
          <w:iCs/>
          <w:sz w:val="22"/>
          <w:szCs w:val="22"/>
          <w:lang w:val="pt-BR"/>
        </w:rPr>
        <w:t>;</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r>
        <w:rPr>
          <w:bCs/>
          <w:iCs/>
          <w:sz w:val="22"/>
          <w:szCs w:val="22"/>
          <w:lang w:val="pt-BR"/>
        </w:rPr>
        <w:t>;</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de Preço;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BDI sem Desoneração;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de Fiscalização;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de Projeto;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Arquitetônico;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Adriano Hilário Talarico Soletti</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34</w:t>
      </w:r>
      <w:r>
        <w:rPr>
          <w:sz w:val="22"/>
          <w:szCs w:val="22"/>
        </w:rPr>
        <w:t>/202</w:t>
      </w:r>
      <w:r>
        <w:rPr>
          <w:rFonts w:hint="default"/>
          <w:sz w:val="22"/>
          <w:szCs w:val="22"/>
          <w:lang w:val="pt-BR"/>
        </w:rPr>
        <w:t>1</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15</w:t>
      </w:r>
      <w:r>
        <w:rPr>
          <w:rFonts w:eastAsia="Times New Roman"/>
          <w:iCs/>
          <w:sz w:val="22"/>
          <w:szCs w:val="22"/>
          <w:lang w:eastAsia="pt-BR"/>
        </w:rPr>
        <w:t xml:space="preserve"> de </w:t>
      </w:r>
      <w:r>
        <w:rPr>
          <w:rFonts w:hint="default" w:eastAsia="Times New Roman"/>
          <w:iCs/>
          <w:sz w:val="22"/>
          <w:szCs w:val="22"/>
          <w:lang w:val="en-US" w:eastAsia="pt-BR"/>
        </w:rPr>
        <w:t>setembro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Adriano Hilário Talarico Soletti</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34</w:t>
      </w:r>
      <w:r>
        <w:rPr>
          <w:rFonts w:eastAsia="Times New Roman"/>
          <w:bCs/>
          <w:color w:val="000000"/>
          <w:sz w:val="22"/>
          <w:szCs w:val="22"/>
          <w:lang w:eastAsia="pt-BR"/>
        </w:rPr>
        <w:t>/202</w:t>
      </w:r>
      <w:r>
        <w:rPr>
          <w:rFonts w:hint="default" w:eastAsia="Times New Roman"/>
          <w:bCs/>
          <w:color w:val="000000"/>
          <w:sz w:val="22"/>
          <w:szCs w:val="22"/>
          <w:lang w:val="en-US" w:eastAsia="pt-BR"/>
        </w:rPr>
        <w:t>1</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2</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b/>
          <w:iCs/>
          <w:sz w:val="22"/>
          <w:szCs w:val="22"/>
          <w:u w:val="single"/>
        </w:rPr>
        <w:t>Jorge Luís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Oásis</w:t>
      </w:r>
      <w:r>
        <w:rPr>
          <w:sz w:val="22"/>
          <w:szCs w:val="22"/>
        </w:rPr>
        <w:t>;</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284/2022</w:t>
      </w:r>
      <w:r>
        <w:rPr>
          <w:sz w:val="22"/>
          <w:szCs w:val="22"/>
        </w:rPr>
        <w:t xml:space="preserve">, gerado pela </w:t>
      </w:r>
      <w:r>
        <w:rPr>
          <w:b/>
          <w:sz w:val="22"/>
          <w:szCs w:val="22"/>
        </w:rPr>
        <w:t xml:space="preserve">Tomada de Preços nº. </w:t>
      </w:r>
      <w:r>
        <w:rPr>
          <w:b/>
          <w:sz w:val="22"/>
          <w:szCs w:val="22"/>
          <w:lang w:val="pt-BR"/>
        </w:rPr>
        <w:t>011/2022</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A EXECUÇÃO DA OBRA DE CONSTRUÇÃO DO MURO E CERCAMENTO NO NOVO CEMITÉRIO MUNICIPAL DE NAVIRAÍ. SOLICITAÇÃO DA GERÊNCIA DE OBRAS. PEDIDO DE SERVIÇO Nº 309/2022</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284/2022</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011/2022</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6"/>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6"/>
        </w:numPr>
        <w:spacing w:before="0" w:after="0" w:line="240" w:lineRule="auto"/>
        <w:ind w:left="567" w:hanging="360"/>
        <w:jc w:val="both"/>
        <w:rPr>
          <w:iCs/>
          <w:sz w:val="22"/>
          <w:szCs w:val="22"/>
        </w:rPr>
      </w:pPr>
      <w:r>
        <w:rPr>
          <w:iCs/>
          <w:sz w:val="22"/>
          <w:szCs w:val="22"/>
        </w:rPr>
        <w:t>Seguro-garantia;</w:t>
      </w:r>
    </w:p>
    <w:p>
      <w:pPr>
        <w:numPr>
          <w:ilvl w:val="0"/>
          <w:numId w:val="36"/>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5"/>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8"/>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8"/>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8"/>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7"/>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Recursos Próprios da </w:t>
      </w:r>
      <w:r>
        <w:rPr>
          <w:rFonts w:hint="default"/>
          <w:iCs/>
          <w:sz w:val="22"/>
          <w:szCs w:val="22"/>
          <w:lang w:val="en-US" w:eastAsia="pt-BR"/>
        </w:rPr>
        <w:t>Gerência de Obras</w:t>
      </w:r>
      <w:r>
        <w:rPr>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keepNext/>
        <w:keepLines/>
        <w:widowControl w:val="0"/>
        <w:numPr>
          <w:ilvl w:val="0"/>
          <w:numId w:val="39"/>
        </w:numPr>
        <w:spacing w:before="20" w:after="200"/>
        <w:ind w:left="420" w:leftChars="0" w:hanging="420" w:firstLineChars="0"/>
        <w:jc w:val="both"/>
        <w:rPr>
          <w:rFonts w:hint="default" w:eastAsia="Times New Roman"/>
          <w:b/>
          <w:iCs/>
          <w:sz w:val="22"/>
          <w:szCs w:val="22"/>
          <w:lang w:val="en-US" w:eastAsia="pt-BR"/>
        </w:rPr>
      </w:pPr>
      <w:r>
        <w:rPr>
          <w:rFonts w:eastAsia="Times New Roman"/>
          <w:b/>
          <w:iCs/>
          <w:sz w:val="22"/>
          <w:szCs w:val="22"/>
          <w:lang w:eastAsia="pt-BR"/>
        </w:rPr>
        <w:t>G</w:t>
      </w:r>
      <w:r>
        <w:rPr>
          <w:rFonts w:hint="default" w:eastAsia="Times New Roman"/>
          <w:b/>
          <w:iCs/>
          <w:sz w:val="22"/>
          <w:szCs w:val="22"/>
          <w:lang w:val="en-US" w:eastAsia="pt-BR"/>
        </w:rPr>
        <w:t>ABINETE</w:t>
      </w:r>
      <w:r>
        <w:rPr>
          <w:rFonts w:eastAsia="Times New Roman"/>
          <w:b/>
          <w:iCs/>
          <w:sz w:val="22"/>
          <w:szCs w:val="22"/>
          <w:lang w:eastAsia="pt-BR"/>
        </w:rPr>
        <w:t xml:space="preserve"> D</w:t>
      </w:r>
      <w:r>
        <w:rPr>
          <w:rFonts w:hint="default" w:eastAsia="Times New Roman"/>
          <w:b/>
          <w:iCs/>
          <w:sz w:val="22"/>
          <w:szCs w:val="22"/>
          <w:lang w:val="en-US" w:eastAsia="pt-BR"/>
        </w:rPr>
        <w:t>E OBRAS</w:t>
      </w:r>
      <w:r>
        <w:rPr>
          <w:rFonts w:eastAsia="Times New Roman"/>
          <w:b/>
          <w:iCs/>
          <w:sz w:val="22"/>
          <w:szCs w:val="22"/>
          <w:lang w:eastAsia="pt-BR"/>
        </w:rPr>
        <w:t xml:space="preserve"> – DOTAÇÃO ORÇAMENTÁRIA: </w:t>
      </w:r>
      <w:r>
        <w:rPr>
          <w:rFonts w:hint="default" w:eastAsia="Times New Roman"/>
          <w:b/>
          <w:iCs/>
          <w:sz w:val="22"/>
          <w:szCs w:val="22"/>
          <w:lang w:val="en-US" w:eastAsia="pt-BR"/>
        </w:rPr>
        <w:t>01.04.15.451.401.1.3-44.90.51.00.00.00 (R 4363)</w:t>
      </w: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sz w:val="22"/>
          <w:szCs w:val="22"/>
        </w:rPr>
      </w:pPr>
      <w:r>
        <w:rPr>
          <w:sz w:val="22"/>
          <w:szCs w:val="22"/>
        </w:rPr>
        <w:t xml:space="preserve">8.1 O prazo para </w:t>
      </w:r>
      <w:r>
        <w:rPr>
          <w:b/>
          <w:sz w:val="22"/>
          <w:szCs w:val="22"/>
          <w:u w:val="single"/>
        </w:rPr>
        <w:t>realização/execução</w:t>
      </w:r>
      <w:r>
        <w:rPr>
          <w:sz w:val="22"/>
          <w:szCs w:val="22"/>
        </w:rPr>
        <w:t xml:space="preserve"> da obra constante deste Edital será de</w:t>
      </w:r>
      <w:r>
        <w:rPr>
          <w:b/>
          <w:bCs/>
          <w:sz w:val="22"/>
          <w:szCs w:val="22"/>
        </w:rPr>
        <w:t xml:space="preserve"> </w:t>
      </w:r>
      <w:r>
        <w:rPr>
          <w:rFonts w:hint="default"/>
          <w:b/>
          <w:bCs/>
          <w:sz w:val="22"/>
          <w:szCs w:val="22"/>
          <w:lang w:val="pt-BR"/>
        </w:rPr>
        <w:t>180</w:t>
      </w:r>
      <w:r>
        <w:rPr>
          <w:b/>
          <w:sz w:val="22"/>
          <w:szCs w:val="22"/>
        </w:rPr>
        <w:t xml:space="preserve"> (</w:t>
      </w:r>
      <w:r>
        <w:rPr>
          <w:rFonts w:hint="default"/>
          <w:b/>
          <w:sz w:val="22"/>
          <w:szCs w:val="22"/>
          <w:lang w:val="pt-BR"/>
        </w:rPr>
        <w:t>cento e oitenta</w:t>
      </w:r>
      <w:r>
        <w:rPr>
          <w:b/>
          <w:sz w:val="22"/>
          <w:szCs w:val="22"/>
        </w:rPr>
        <w:t xml:space="preserve">) </w:t>
      </w:r>
      <w:r>
        <w:rPr>
          <w:sz w:val="22"/>
          <w:szCs w:val="22"/>
        </w:rPr>
        <w:t>dias contados a partir da data do recebimento da Ordem de Serviços.</w:t>
      </w:r>
    </w:p>
    <w:p>
      <w:pPr>
        <w:ind w:left="1134"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O prazo de </w:t>
      </w:r>
      <w:r>
        <w:rPr>
          <w:b/>
          <w:sz w:val="22"/>
          <w:szCs w:val="22"/>
          <w:u w:val="single"/>
        </w:rPr>
        <w:t>vigência</w:t>
      </w:r>
      <w:r>
        <w:rPr>
          <w:sz w:val="22"/>
          <w:szCs w:val="22"/>
        </w:rPr>
        <w:t xml:space="preserve"> do Contrato será </w:t>
      </w:r>
      <w:r>
        <w:rPr>
          <w:iCs/>
          <w:sz w:val="22"/>
          <w:szCs w:val="22"/>
        </w:rPr>
        <w:t xml:space="preserve">de </w:t>
      </w:r>
      <w:r>
        <w:rPr>
          <w:rFonts w:hint="default"/>
          <w:b/>
          <w:bCs/>
          <w:iCs/>
          <w:sz w:val="22"/>
          <w:szCs w:val="22"/>
          <w:lang w:val="pt-BR"/>
        </w:rPr>
        <w:t>240</w:t>
      </w:r>
      <w:r>
        <w:rPr>
          <w:b/>
          <w:sz w:val="22"/>
          <w:szCs w:val="22"/>
        </w:rPr>
        <w:t xml:space="preserve"> (</w:t>
      </w:r>
      <w:r>
        <w:rPr>
          <w:rFonts w:hint="default"/>
          <w:b/>
          <w:sz w:val="22"/>
          <w:szCs w:val="22"/>
          <w:lang w:val="pt-BR"/>
        </w:rPr>
        <w:t>duzentos e quarenta</w:t>
      </w:r>
      <w:r>
        <w:rPr>
          <w:b/>
          <w:sz w:val="22"/>
          <w:szCs w:val="22"/>
        </w:rPr>
        <w:t>)</w:t>
      </w:r>
      <w:r>
        <w:rPr>
          <w:iCs/>
          <w:sz w:val="22"/>
          <w:szCs w:val="22"/>
        </w:rPr>
        <w:t xml:space="preserve"> dias podendo ser prorrogado mediante acordo entre as partes e nos termos da Lei 8.666/93.</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41"/>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41"/>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 inclusive feita à limpeza geral, bem como reparos, caso a fiscalização julgue necessário.</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Será de inteira responsabilidade da contratada, efetuar todos os serviços de projeto de engenharia, topografia, locação laboratório, necessário á realização dos trabalhos.</w:t>
      </w:r>
    </w:p>
    <w:p>
      <w:pPr>
        <w:jc w:val="both"/>
        <w:rPr>
          <w:bCs/>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2"/>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2"/>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3"/>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3"/>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3"/>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4"/>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5"/>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4"/>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6"/>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6"/>
        </w:numPr>
        <w:spacing w:before="0" w:after="0" w:line="240" w:lineRule="auto"/>
        <w:ind w:left="567" w:hanging="142"/>
        <w:jc w:val="both"/>
        <w:rPr>
          <w:sz w:val="22"/>
          <w:szCs w:val="22"/>
        </w:rPr>
      </w:pPr>
      <w:r>
        <w:rPr>
          <w:sz w:val="22"/>
          <w:szCs w:val="22"/>
        </w:rPr>
        <w:t>Multa;</w:t>
      </w:r>
    </w:p>
    <w:p>
      <w:pPr>
        <w:ind w:left="142" w:firstLine="0"/>
        <w:jc w:val="both"/>
        <w:rPr>
          <w:sz w:val="22"/>
          <w:szCs w:val="22"/>
        </w:rPr>
      </w:pPr>
    </w:p>
    <w:p>
      <w:pPr>
        <w:numPr>
          <w:ilvl w:val="0"/>
          <w:numId w:val="47"/>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7"/>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7"/>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4"/>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8"/>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8"/>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8"/>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4"/>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4"/>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4"/>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9"/>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9"/>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9"/>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9"/>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9"/>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9"/>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9"/>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4"/>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50"/>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50"/>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51"/>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51"/>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2</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rightChars="0" w:firstLine="0" w:firstLineChars="0"/>
              <w:jc w:val="left"/>
              <w:textAlignment w:val="baseline"/>
              <w:rPr>
                <w:rFonts w:hint="default" w:eastAsia="Times New Roman"/>
                <w:b/>
                <w:iCs/>
                <w:sz w:val="22"/>
                <w:szCs w:val="22"/>
                <w:lang w:eastAsia="pt-BR"/>
              </w:rPr>
            </w:pPr>
            <w:r>
              <w:rPr>
                <w:rFonts w:hint="default" w:eastAsia="Times New Roman"/>
                <w:b/>
                <w:iCs/>
                <w:sz w:val="22"/>
                <w:szCs w:val="22"/>
                <w:lang w:eastAsia="pt-BR"/>
              </w:rPr>
              <w:t>JORGE LUÍS DE LÚCIA</w:t>
            </w:r>
          </w:p>
          <w:p>
            <w:pPr>
              <w:widowControl w:val="0"/>
              <w:tabs>
                <w:tab w:val="left" w:pos="5562"/>
              </w:tabs>
              <w:spacing w:before="0" w:after="0"/>
              <w:ind w:right="33" w:rightChars="0" w:firstLine="0" w:firstLineChars="0"/>
              <w:jc w:val="left"/>
              <w:textAlignment w:val="baseline"/>
              <w:rPr>
                <w:rFonts w:hint="default" w:eastAsia="Times New Roman"/>
                <w:b/>
                <w:iCs/>
                <w:sz w:val="22"/>
                <w:szCs w:val="22"/>
                <w:lang w:eastAsia="pt-BR"/>
              </w:rPr>
            </w:pPr>
            <w:r>
              <w:rPr>
                <w:rFonts w:hint="default" w:eastAsia="Times New Roman"/>
                <w:b/>
                <w:iCs/>
                <w:sz w:val="22"/>
                <w:szCs w:val="22"/>
                <w:lang w:eastAsia="pt-BR"/>
              </w:rPr>
              <w:t>Ger. De Obras e Ordenador de Despesas</w:t>
            </w:r>
          </w:p>
          <w:p>
            <w:pPr>
              <w:widowControl w:val="0"/>
              <w:tabs>
                <w:tab w:val="left" w:pos="5562"/>
              </w:tabs>
              <w:spacing w:before="0" w:after="0"/>
              <w:ind w:right="33" w:rightChars="0" w:firstLine="0" w:firstLineChars="0"/>
              <w:jc w:val="left"/>
              <w:textAlignment w:val="baseline"/>
              <w:rPr>
                <w:rFonts w:hint="default" w:eastAsia="Times New Roman"/>
                <w:b/>
                <w:iCs/>
                <w:sz w:val="22"/>
                <w:szCs w:val="22"/>
                <w:lang w:eastAsia="pt-BR"/>
              </w:rPr>
            </w:pPr>
            <w:r>
              <w:rPr>
                <w:rFonts w:hint="default" w:eastAsia="Times New Roman"/>
                <w:b/>
                <w:iCs/>
                <w:sz w:val="22"/>
                <w:szCs w:val="22"/>
                <w:lang w:eastAsia="pt-BR"/>
              </w:rPr>
              <w:t>Conforme Decreto nº 011/2021</w:t>
            </w:r>
          </w:p>
          <w:p>
            <w:pPr>
              <w:widowControl w:val="0"/>
              <w:tabs>
                <w:tab w:val="left" w:pos="5562"/>
              </w:tabs>
              <w:spacing w:before="0" w:after="0"/>
              <w:ind w:right="33" w:rightChars="0" w:firstLine="0" w:firstLineChars="0"/>
              <w:jc w:val="left"/>
              <w:textAlignment w:val="baseline"/>
              <w:rPr>
                <w:rFonts w:eastAsia="Times New Roman"/>
                <w:b/>
                <w:iCs/>
                <w:sz w:val="22"/>
                <w:szCs w:val="22"/>
                <w:lang w:eastAsia="pt-BR"/>
              </w:rPr>
            </w:pPr>
            <w:r>
              <w:rPr>
                <w:rFonts w:hint="default" w:eastAsia="Times New Roman"/>
                <w:b/>
                <w:iCs/>
                <w:sz w:val="22"/>
                <w:szCs w:val="22"/>
                <w:lang w:eastAsia="pt-BR"/>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b/>
          <w:sz w:val="22"/>
          <w:szCs w:val="22"/>
        </w:rPr>
      </w:pPr>
      <w:r>
        <w:rPr>
          <w:sz w:val="22"/>
          <w:szCs w:val="22"/>
        </w:rPr>
        <w:br w:type="page"/>
      </w: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284/2022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011/2022</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2"/>
          <w:szCs w:val="22"/>
          <w:lang w:eastAsia="pt-BR"/>
        </w:rPr>
      </w:pPr>
      <w:r>
        <w:rPr>
          <w:b/>
          <w:bCs/>
          <w:iCs/>
          <w:sz w:val="22"/>
          <w:szCs w:val="22"/>
        </w:rPr>
        <w:t xml:space="preserve">OBJETO: </w:t>
      </w:r>
      <w:r>
        <w:rPr>
          <w:b/>
          <w:iCs/>
          <w:sz w:val="22"/>
          <w:szCs w:val="22"/>
        </w:rPr>
        <w:t>CONTRATAÇÃO DE EMPRESA ESPECIALIZADA EM SERVIÇOS DE ENGENHARIA PARA A EXECUÇÃO DA OBRA DE CONSTRUÇÃO DO MURO E CERCAMENTO NO NOVO CEMITÉRIO MUNICIPAL DE NAVIRAÍ. SOLICITAÇÃO DA GERÊNCIA DE OBRAS. PEDIDO DE SERVIÇO Nº 309/2022.</w:t>
      </w:r>
    </w:p>
    <w:p>
      <w:pPr>
        <w:spacing w:before="0" w:after="0"/>
        <w:jc w:val="both"/>
        <w:textAlignment w:val="baseline"/>
        <w:rPr>
          <w:iCs/>
          <w:sz w:val="22"/>
          <w:szCs w:val="22"/>
        </w:rPr>
      </w:pPr>
      <w:r>
        <w:rPr>
          <w:b/>
          <w:iCs/>
          <w:sz w:val="22"/>
          <w:szCs w:val="22"/>
          <w:u w:val="single"/>
        </w:rPr>
        <w:t>Jorge Luís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Oásis</w:t>
      </w:r>
      <w:r>
        <w:rPr>
          <w:iCs/>
          <w:sz w:val="22"/>
          <w:szCs w:val="22"/>
        </w:rPr>
        <w:t>;</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2"/>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2"/>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2"/>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2"/>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2"/>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2"/>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JORGE LUÍS DE LÚCIA</w:t>
            </w:r>
          </w:p>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Conforme Decreto nº 011/2021</w:t>
            </w:r>
          </w:p>
          <w:p>
            <w:pPr>
              <w:widowControl w:val="0"/>
              <w:tabs>
                <w:tab w:val="left" w:pos="5562"/>
              </w:tabs>
              <w:spacing w:before="0" w:after="0"/>
              <w:ind w:right="33" w:rightChars="0" w:firstLine="0" w:firstLineChars="0"/>
              <w:jc w:val="left"/>
              <w:textAlignment w:val="baseline"/>
              <w:rPr>
                <w:b/>
                <w:iCs/>
                <w:sz w:val="22"/>
                <w:szCs w:val="22"/>
              </w:rPr>
            </w:pPr>
            <w:r>
              <w:rPr>
                <w:rFonts w:hint="default"/>
                <w:b/>
                <w:iCs/>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284/2022</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011/2022</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
          <w:bCs/>
          <w:iCs/>
          <w:sz w:val="22"/>
          <w:szCs w:val="22"/>
        </w:rPr>
      </w:pP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3"/>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3"/>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tabs>
          <w:tab w:val="left" w:pos="2475"/>
        </w:tabs>
        <w:ind w:left="567" w:hanging="567"/>
        <w:jc w:val="both"/>
        <w:rPr>
          <w:iCs/>
          <w:sz w:val="22"/>
          <w:szCs w:val="22"/>
        </w:rPr>
      </w:pPr>
    </w:p>
    <w:p>
      <w:pPr>
        <w:numPr>
          <w:ilvl w:val="0"/>
          <w:numId w:val="24"/>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4"/>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4"/>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011/2022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011/2022</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2</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ascii="Times New Roman" w:hAnsi="Times New Roman" w:cs="Times New Roman"/>
        <w:b/>
        <w:iCs/>
        <w:color w:val="0000FF"/>
      </w:rPr>
      <w:fldChar w:fldCharType="begin"/>
    </w:r>
    <w:r>
      <w:rPr>
        <w:rFonts w:hint="default" w:ascii="Times New Roman" w:hAnsi="Times New Roman" w:cs="Times New Roman"/>
        <w:b/>
        <w:iCs/>
        <w:color w:val="0000FF"/>
      </w:rPr>
      <w:instrText xml:space="preserve"> HYPERLINK "mailto:pregaonavirai@gmail.com" </w:instrText>
    </w:r>
    <w:r>
      <w:rPr>
        <w:rFonts w:hint="default" w:ascii="Times New Roman" w:hAnsi="Times New Roman" w:cs="Times New Roman"/>
        <w:b/>
        <w:iCs/>
        <w:color w:val="0000FF"/>
      </w:rPr>
      <w:fldChar w:fldCharType="separate"/>
    </w:r>
    <w:r>
      <w:rPr>
        <w:rStyle w:val="14"/>
        <w:rFonts w:hint="default" w:ascii="Times New Roman" w:hAnsi="Times New Roman" w:cs="Times New Roman"/>
        <w:b/>
        <w:iCs/>
        <w:color w:val="0000FF"/>
      </w:rPr>
      <w:t>pregaonavirai@gmail.com</w:t>
    </w:r>
    <w:r>
      <w:rPr>
        <w:rFonts w:hint="default" w:ascii="Times New Roman" w:hAnsi="Times New Roman" w:cs="Times New Roman"/>
        <w:b/>
        <w:iCs/>
        <w:color w:val="0000FF"/>
      </w:rPr>
      <w:fldChar w:fldCharType="end"/>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FE51E166"/>
    <w:multiLevelType w:val="singleLevel"/>
    <w:tmpl w:val="FE51E1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9">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0">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1">
    <w:nsid w:val="0F1B70C6"/>
    <w:multiLevelType w:val="singleLevel"/>
    <w:tmpl w:val="0F1B70C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3">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4">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5">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6">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7">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8">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9">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30">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1">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2">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3">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4">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5">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6">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7">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8">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9">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40">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2">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3">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6"/>
    <w:lvlOverride w:ilvl="1">
      <w:startOverride w:val="1"/>
    </w:lvlOverride>
  </w:num>
  <w:num w:numId="2">
    <w:abstractNumId w:val="36"/>
  </w:num>
  <w:num w:numId="3">
    <w:abstractNumId w:val="35"/>
    <w:lvlOverride w:ilvl="0">
      <w:startOverride w:val="1"/>
    </w:lvlOverride>
  </w:num>
  <w:num w:numId="4">
    <w:abstractNumId w:val="35"/>
  </w:num>
  <w:num w:numId="5">
    <w:abstractNumId w:val="27"/>
    <w:lvlOverride w:ilvl="2">
      <w:startOverride w:val="1"/>
    </w:lvlOverride>
  </w:num>
  <w:num w:numId="6">
    <w:abstractNumId w:val="13"/>
  </w:num>
  <w:num w:numId="7">
    <w:abstractNumId w:val="5"/>
    <w:lvlOverride w:ilvl="1">
      <w:startOverride w:val="1"/>
    </w:lvlOverride>
  </w:num>
  <w:num w:numId="8">
    <w:abstractNumId w:val="39"/>
    <w:lvlOverride w:ilvl="0">
      <w:startOverride w:val="1"/>
    </w:lvlOverride>
  </w:num>
  <w:num w:numId="9">
    <w:abstractNumId w:val="33"/>
  </w:num>
  <w:num w:numId="10">
    <w:abstractNumId w:val="6"/>
    <w:lvlOverride w:ilvl="0">
      <w:startOverride w:val="1"/>
    </w:lvlOverride>
  </w:num>
  <w:num w:numId="11">
    <w:abstractNumId w:val="17"/>
  </w:num>
  <w:num w:numId="12">
    <w:abstractNumId w:val="6"/>
  </w:num>
  <w:num w:numId="13">
    <w:abstractNumId w:val="10"/>
  </w:num>
  <w:num w:numId="14">
    <w:abstractNumId w:val="40"/>
  </w:num>
  <w:num w:numId="15">
    <w:abstractNumId w:val="4"/>
    <w:lvlOverride w:ilvl="0">
      <w:startOverride w:val="1"/>
    </w:lvlOverride>
  </w:num>
  <w:num w:numId="16">
    <w:abstractNumId w:val="4"/>
  </w:num>
  <w:num w:numId="17">
    <w:abstractNumId w:val="41"/>
  </w:num>
  <w:num w:numId="18">
    <w:abstractNumId w:val="1"/>
    <w:lvlOverride w:ilvl="0">
      <w:startOverride w:val="1"/>
    </w:lvlOverride>
  </w:num>
  <w:num w:numId="19">
    <w:abstractNumId w:val="1"/>
  </w:num>
  <w:num w:numId="20">
    <w:abstractNumId w:val="43"/>
    <w:lvlOverride w:ilvl="0">
      <w:startOverride w:val="1"/>
    </w:lvlOverride>
  </w:num>
  <w:num w:numId="21">
    <w:abstractNumId w:val="43"/>
  </w:num>
  <w:num w:numId="22">
    <w:abstractNumId w:val="26"/>
    <w:lvlOverride w:ilvl="0">
      <w:startOverride w:val="1"/>
    </w:lvlOverride>
  </w:num>
  <w:num w:numId="23">
    <w:abstractNumId w:val="26"/>
  </w:num>
  <w:num w:numId="24">
    <w:abstractNumId w:val="16"/>
  </w:num>
  <w:num w:numId="25">
    <w:abstractNumId w:val="39"/>
  </w:num>
  <w:num w:numId="26">
    <w:abstractNumId w:val="14"/>
  </w:num>
  <w:num w:numId="27">
    <w:abstractNumId w:val="28"/>
    <w:lvlOverride w:ilvl="0">
      <w:startOverride w:val="1"/>
    </w:lvlOverride>
  </w:num>
  <w:num w:numId="28">
    <w:abstractNumId w:val="9"/>
  </w:num>
  <w:num w:numId="29">
    <w:abstractNumId w:val="3"/>
  </w:num>
  <w:num w:numId="30">
    <w:abstractNumId w:val="8"/>
  </w:num>
  <w:num w:numId="31">
    <w:abstractNumId w:val="37"/>
  </w:num>
  <w:num w:numId="32">
    <w:abstractNumId w:val="0"/>
  </w:num>
  <w:num w:numId="33">
    <w:abstractNumId w:val="23"/>
  </w:num>
  <w:num w:numId="34">
    <w:abstractNumId w:val="2"/>
  </w:num>
  <w:num w:numId="35">
    <w:abstractNumId w:val="38"/>
  </w:num>
  <w:num w:numId="36">
    <w:abstractNumId w:val="42"/>
  </w:num>
  <w:num w:numId="37">
    <w:abstractNumId w:val="34"/>
  </w:num>
  <w:num w:numId="38">
    <w:abstractNumId w:val="29"/>
  </w:num>
  <w:num w:numId="39">
    <w:abstractNumId w:val="21"/>
  </w:num>
  <w:num w:numId="40">
    <w:abstractNumId w:val="19"/>
  </w:num>
  <w:num w:numId="41">
    <w:abstractNumId w:val="20"/>
  </w:num>
  <w:num w:numId="42">
    <w:abstractNumId w:val="12"/>
  </w:num>
  <w:num w:numId="43">
    <w:abstractNumId w:val="30"/>
  </w:num>
  <w:num w:numId="44">
    <w:abstractNumId w:val="24"/>
  </w:num>
  <w:num w:numId="45">
    <w:abstractNumId w:val="15"/>
  </w:num>
  <w:num w:numId="46">
    <w:abstractNumId w:val="25"/>
  </w:num>
  <w:num w:numId="47">
    <w:abstractNumId w:val="7"/>
  </w:num>
  <w:num w:numId="48">
    <w:abstractNumId w:val="32"/>
  </w:num>
  <w:num w:numId="49">
    <w:abstractNumId w:val="22"/>
  </w:num>
  <w:num w:numId="50">
    <w:abstractNumId w:val="31"/>
  </w:num>
  <w:num w:numId="51">
    <w:abstractNumId w:val="18"/>
  </w:num>
  <w:num w:numId="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AB921CB"/>
    <w:rsid w:val="1B6B7765"/>
    <w:rsid w:val="1C044E05"/>
    <w:rsid w:val="1F545A65"/>
    <w:rsid w:val="35D600C3"/>
    <w:rsid w:val="363A0214"/>
    <w:rsid w:val="519F13EF"/>
    <w:rsid w:val="60381FF9"/>
    <w:rsid w:val="68BD320A"/>
    <w:rsid w:val="6F1414DB"/>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13</TotalTime>
  <ScaleCrop>false</ScaleCrop>
  <LinksUpToDate>false</LinksUpToDate>
  <CharactersWithSpaces>75189</CharactersWithSpaces>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2022-09-20T12:49:30Z</cp:lastPrinted>
  <dcterms:modified xsi:type="dcterms:W3CDTF">2022-09-20T12:49:57Z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5023DF1CDC43423B8CD9115626E390E8</vt:lpwstr>
  </property>
  <property fmtid="{D5CDD505-2E9C-101B-9397-08002B2CF9AE}" pid="3" name="KSOProductBuildVer">
    <vt:lpwstr>1046-11.2.0.11306</vt:lpwstr>
  </property>
</Properties>
</file>