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19</w:t>
      </w:r>
      <w:r>
        <w:rPr>
          <w:rFonts w:eastAsia="Times New Roman"/>
          <w:iCs/>
          <w:sz w:val="22"/>
          <w:szCs w:val="22"/>
          <w:lang w:eastAsia="pt-BR"/>
        </w:rPr>
        <w:t xml:space="preserve"> de </w:t>
      </w:r>
      <w:r>
        <w:rPr>
          <w:rFonts w:hint="default" w:eastAsia="Times New Roman"/>
          <w:iCs/>
          <w:sz w:val="22"/>
          <w:szCs w:val="22"/>
          <w:lang w:val="en-US" w:eastAsia="pt-BR"/>
        </w:rPr>
        <w:t>julho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007/2023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207/2023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163 de 16 de março de 2023</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hint="default" w:eastAsia="Times New Roman"/>
          <w:sz w:val="22"/>
          <w:szCs w:val="22"/>
          <w:lang w:val="en-US" w:eastAsia="pt-BR"/>
        </w:rPr>
        <w:t xml:space="preserve"> </w:t>
      </w:r>
      <w:r>
        <w:rPr>
          <w:rFonts w:hint="default" w:eastAsia="Times New Roman"/>
          <w:b/>
          <w:bCs/>
          <w:sz w:val="22"/>
          <w:szCs w:val="22"/>
          <w:lang w:val="en-US" w:eastAsia="pt-BR"/>
        </w:rPr>
        <w:t>11 de agosto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00</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0"/>
          <w:numId w:val="0"/>
        </w:numPr>
        <w:ind w:leftChars="0" w:right="-1" w:rightChars="0"/>
        <w:jc w:val="both"/>
        <w:textAlignment w:val="auto"/>
        <w:rPr>
          <w:rFonts w:eastAsia="Times New Roman"/>
          <w:b/>
          <w:iCs/>
          <w:sz w:val="22"/>
          <w:szCs w:val="22"/>
          <w:lang w:eastAsia="pt-BR"/>
        </w:rPr>
      </w:pPr>
      <w:r>
        <w:rPr>
          <w:rFonts w:hint="default" w:eastAsia="Times New Roman"/>
          <w:iCs/>
          <w:sz w:val="22"/>
          <w:szCs w:val="22"/>
          <w:lang w:val="en-US" w:eastAsia="pt-BR"/>
        </w:rPr>
        <w:t xml:space="preserve">2.1 </w:t>
      </w:r>
      <w:r>
        <w:rPr>
          <w:rFonts w:eastAsia="Times New Roman"/>
          <w:iCs/>
          <w:sz w:val="22"/>
          <w:szCs w:val="22"/>
          <w:lang w:eastAsia="pt-BR"/>
        </w:rPr>
        <w:t xml:space="preserve">Objeto da presente licitação é a </w:t>
      </w:r>
      <w:r>
        <w:rPr>
          <w:b/>
          <w:iCs/>
          <w:sz w:val="22"/>
          <w:szCs w:val="22"/>
        </w:rPr>
        <w:t>CONTRATAÇÃO DE EMPRESA ESPECIALIZADA EM SERVIÇOS DE ENGENHARIA, PARA EXECUÇÃO DA OBRA DE REFORMA DA SALA DE RAIO-X, NO CENTRO DE ESPECIALIDADES MÉDICAS, LOCALIZADO NA AV. PONTA PORÃ COM A AV. FATIMA DO SUL, Nº 780 - CENTRO, CONFORME MEMORIAL DESCRITIVO. SOLICITAÇÃO DA GERÊNCIA DE OBRAS. PEDIDO DE SERVIÇO Nº 272/2023.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r>
        <w:rPr>
          <w:b/>
          <w:bCs/>
          <w:sz w:val="23"/>
          <w:szCs w:val="23"/>
          <w:lang w:eastAsia="pt-BR"/>
        </w:rPr>
        <w:t>Parágrafo único -</w:t>
      </w:r>
      <w:r>
        <w:rPr>
          <w:color w:val="000000"/>
          <w:sz w:val="23"/>
          <w:szCs w:val="23"/>
          <w:lang w:val="pt-BR"/>
        </w:rPr>
        <w:t xml:space="preserve"> A Empresa que estiver em </w:t>
      </w:r>
      <w:r>
        <w:rPr>
          <w:b/>
          <w:bCs/>
          <w:color w:val="000000"/>
          <w:sz w:val="23"/>
          <w:szCs w:val="23"/>
          <w:u w:val="single"/>
          <w:lang w:val="pt-BR"/>
        </w:rPr>
        <w:t>processo de recuperação judicial</w:t>
      </w:r>
      <w:r>
        <w:rPr>
          <w:color w:val="000000"/>
          <w:sz w:val="23"/>
          <w:szCs w:val="23"/>
          <w:lang w:val="pt-BR"/>
        </w:rPr>
        <w:t xml:space="preserve">, mediante apresentação de Autorização emitida pelo </w:t>
      </w:r>
      <w:r>
        <w:rPr>
          <w:b/>
          <w:bCs/>
          <w:color w:val="000000"/>
          <w:sz w:val="23"/>
          <w:szCs w:val="23"/>
          <w:u w:val="single"/>
          <w:lang w:val="pt-BR"/>
        </w:rPr>
        <w:t>juízo competente</w:t>
      </w:r>
      <w:r>
        <w:rPr>
          <w:color w:val="000000"/>
          <w:sz w:val="23"/>
          <w:szCs w:val="23"/>
          <w:lang w:val="pt-BR"/>
        </w:rPr>
        <w:t>, poderá participar da licitação.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hint="default" w:ascii="Times New Roman" w:hAnsi="Times New Roman" w:cs="Times New Roman"/>
          <w:sz w:val="22"/>
          <w:szCs w:val="22"/>
          <w:lang w:val="pt-BR"/>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7</w:t>
      </w:r>
      <w:r>
        <w:rPr>
          <w:rFonts w:ascii="Times New Roman" w:hAnsi="Times New Roman" w:cs="Times New Roman"/>
          <w:b/>
          <w:sz w:val="22"/>
          <w:szCs w:val="22"/>
        </w:rPr>
        <w:t xml:space="preserve">h às </w:t>
      </w:r>
      <w:r>
        <w:rPr>
          <w:rFonts w:hint="default" w:ascii="Times New Roman" w:hAnsi="Times New Roman" w:cs="Times New Roman"/>
          <w:b/>
          <w:sz w:val="22"/>
          <w:szCs w:val="22"/>
          <w:lang w:val="pt-BR"/>
        </w:rPr>
        <w:t>13h.</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0"/>
        </w:numPr>
        <w:overflowPunct/>
        <w:spacing w:before="20" w:after="0" w:line="240" w:lineRule="auto"/>
        <w:ind w:leftChars="0"/>
        <w:jc w:val="both"/>
        <w:textAlignment w:val="baseline"/>
        <w:rPr>
          <w:sz w:val="22"/>
          <w:szCs w:val="22"/>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10h30min</w:t>
      </w:r>
      <w:r>
        <w:rPr>
          <w:sz w:val="22"/>
          <w:szCs w:val="22"/>
        </w:rPr>
        <w:t>, para que a documentação seja analisada o protocolo da documentação deverá ser feita até o dia anterior em horário de expediente do órgão.</w:t>
      </w:r>
    </w:p>
    <w:p>
      <w:pPr>
        <w:keepNext/>
        <w:keepLines/>
        <w:widowControl w:val="0"/>
        <w:numPr>
          <w:ilvl w:val="0"/>
          <w:numId w:val="0"/>
        </w:numPr>
        <w:overflowPunct/>
        <w:spacing w:before="20" w:after="0" w:line="240" w:lineRule="auto"/>
        <w:ind w:leftChars="0"/>
        <w:jc w:val="both"/>
        <w:textAlignment w:val="baseline"/>
        <w:rPr>
          <w:sz w:val="22"/>
          <w:szCs w:val="22"/>
        </w:rPr>
      </w:pPr>
    </w:p>
    <w:p>
      <w:pPr>
        <w:keepNext/>
        <w:keepLines/>
        <w:widowControl w:val="0"/>
        <w:overflowPunct w:val="0"/>
        <w:autoSpaceDE w:val="0"/>
        <w:autoSpaceDN w:val="0"/>
        <w:adjustRightInd w:val="0"/>
        <w:spacing w:before="20" w:after="0" w:line="240" w:lineRule="auto"/>
        <w:jc w:val="both"/>
        <w:textAlignment w:val="baseline"/>
        <w:rPr>
          <w:rFonts w:eastAsia="Times New Roman"/>
          <w:color w:val="000000"/>
          <w:sz w:val="21"/>
          <w:szCs w:val="21"/>
          <w:lang w:eastAsia="pt-BR"/>
        </w:rPr>
      </w:pPr>
      <w:r>
        <w:rPr>
          <w:b/>
          <w:sz w:val="24"/>
          <w:szCs w:val="24"/>
        </w:rPr>
        <w:t>Paragrafo Único</w:t>
      </w:r>
      <w:r>
        <w:rPr>
          <w:sz w:val="24"/>
          <w:szCs w:val="24"/>
        </w:rPr>
        <w:t xml:space="preserve"> - As empresa que tiverem interesse em participar do presente certame, e eventualmente a sessão das sextas-feiras não atenderem o requisito temporal da legislação, as mesmas poderão ao tempo previsto em Lei, realizar o protocolo dos documentos e a Comissão fará sessão extraordinária para analise de documentos (Art.</w:t>
      </w:r>
      <w:r>
        <w:t xml:space="preserve"> 22 §2º,  Lei nº 8.666/93).</w:t>
      </w:r>
    </w:p>
    <w:p>
      <w:pPr>
        <w:keepNext/>
        <w:keepLines/>
        <w:widowControl w:val="0"/>
        <w:numPr>
          <w:ilvl w:val="0"/>
          <w:numId w:val="0"/>
        </w:numPr>
        <w:overflowPunct/>
        <w:spacing w:before="20" w:after="0" w:line="240" w:lineRule="auto"/>
        <w:ind w:leftChars="0"/>
        <w:jc w:val="both"/>
        <w:textAlignment w:val="baseline"/>
        <w:rPr>
          <w:sz w:val="22"/>
          <w:szCs w:val="22"/>
          <w:lang w:eastAsia="pt-BR"/>
        </w:rPr>
      </w:pP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jc w:val="both"/>
        <w:rPr>
          <w:iCs/>
          <w:color w:val="000000"/>
          <w:sz w:val="22"/>
          <w:szCs w:val="22"/>
        </w:rPr>
      </w:pP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Piso em granilite, marmorite ou granitina em ambientes internos, com espessura de 8mm, incluso mistura em betoneira, colocação das juntas, aplicação do piso, 4 polimentos com politriz, estucamento, selador e cera. AF_06/2022.</w:t>
      </w: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Porta plumbífera, composta por chapa de madeira com acabamento em laminado melaminico decorativo de alta pressão “fórmica” na cor branco tx e fita de borda pvc colada em todos os lados da porta, revestida internamente com lençol de chumbo refinado de 1,5 mm de espessura, e teor de pureza 99,98%, com puxador tubular de 30cm, e com kitn aparente, limitador inferior para o piso e superior  para a roldana e fechadura arouca bico de papagaio modelo 6945LC cromado.</w:t>
      </w: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Visor em caixilho e aço blindado internamente com vidro plumbífero com espessura máxima de 8mm, nas dimensões 100 x 70cm - Fornecimento e instalação.</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4"/>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5"/>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 xml:space="preserve">508.027,63 </w:t>
      </w:r>
      <w:r>
        <w:rPr>
          <w:rFonts w:eastAsia="Times New Roman"/>
          <w:b/>
          <w:bCs/>
          <w:iCs/>
          <w:sz w:val="22"/>
          <w:szCs w:val="22"/>
          <w:lang w:eastAsia="pt-BR"/>
        </w:rPr>
        <w:t>(</w:t>
      </w:r>
      <w:r>
        <w:rPr>
          <w:rFonts w:hint="default" w:eastAsia="Times New Roman"/>
          <w:b/>
          <w:bCs/>
          <w:iCs/>
          <w:sz w:val="22"/>
          <w:szCs w:val="22"/>
          <w:lang w:val="en-US" w:eastAsia="pt-BR"/>
        </w:rPr>
        <w:t xml:space="preserve"> quinhentos e oito mil vinte e sete reais e sessenta e três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6"/>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8"/>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0"/>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1"/>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2"/>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2"/>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2"/>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120 (cento e vinte) dias, </w:t>
      </w:r>
      <w:r>
        <w:rPr>
          <w:sz w:val="22"/>
          <w:szCs w:val="22"/>
        </w:rPr>
        <w:t xml:space="preserve"> </w:t>
      </w:r>
      <w:r>
        <w:rPr>
          <w:rFonts w:hint="default"/>
          <w:sz w:val="22"/>
          <w:szCs w:val="22"/>
          <w:lang w:val="pt-BR"/>
        </w:rPr>
        <w:t>tendo seu inicío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180 ( cento e oitenta ) dias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3"/>
        </w:numPr>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4"/>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 da Gerência de Saúde</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GERÊNCIA DE SAÚDE : DOTAÇÃO ORÇAMENTÁRIA: 10.01.00.10.302.0504.1.024-44.90.51.00.00.00 (R 1086)</w:t>
      </w:r>
    </w:p>
    <w:p>
      <w:pPr>
        <w:numPr>
          <w:ilvl w:val="0"/>
          <w:numId w:val="0"/>
        </w:numPr>
        <w:tabs>
          <w:tab w:val="left" w:pos="-7088"/>
        </w:tabs>
        <w:overflowPunct/>
        <w:spacing w:before="0" w:after="0" w:line="240" w:lineRule="auto"/>
        <w:ind w:right="-1" w:rightChars="0" w:firstLine="330" w:firstLineChars="150"/>
        <w:jc w:val="both"/>
        <w:textAlignment w:val="baseline"/>
        <w:rPr>
          <w:rFonts w:eastAsia="Times New Roman"/>
          <w:b/>
          <w:iCs/>
          <w:sz w:val="22"/>
          <w:szCs w:val="22"/>
          <w:highlight w:val="yellow"/>
          <w:lang w:val="en-US" w:eastAsia="pt-BR"/>
        </w:rPr>
      </w:pP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6"/>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3"/>
        </w:numPr>
        <w:tabs>
          <w:tab w:val="left" w:pos="-7088"/>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0"/>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0"/>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 e Planilha Orçamentária;</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Cronograma Físico Financeiro;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Demonstração do BDI Desonerado;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Composições;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1320230074353;</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1320230046965;</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1320230071383;</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Arquitetonico;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de Dreno - Ar Condicionado;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Elétrico e lógica;</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Cabine Primária de Média Tensão;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19</w:t>
      </w:r>
      <w:r>
        <w:rPr>
          <w:rFonts w:eastAsia="Times New Roman"/>
          <w:iCs/>
          <w:sz w:val="22"/>
          <w:szCs w:val="22"/>
          <w:lang w:eastAsia="pt-BR"/>
        </w:rPr>
        <w:t xml:space="preserve"> de </w:t>
      </w:r>
      <w:r>
        <w:rPr>
          <w:rFonts w:hint="default" w:eastAsia="Times New Roman"/>
          <w:iCs/>
          <w:sz w:val="22"/>
          <w:szCs w:val="22"/>
          <w:lang w:val="en-US" w:eastAsia="pt-BR"/>
        </w:rPr>
        <w:t>julho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bookmarkStart w:id="0" w:name="_GoBack"/>
      <w:bookmarkEnd w:id="0"/>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w:t>
      </w:r>
      <w:r>
        <w:rPr>
          <w:rFonts w:hint="default"/>
          <w:sz w:val="22"/>
          <w:szCs w:val="22"/>
          <w:lang w:val="pt-BR"/>
        </w:rPr>
        <w:t xml:space="preserve"> a Sra.</w:t>
      </w:r>
      <w:r>
        <w:rPr>
          <w:sz w:val="22"/>
          <w:szCs w:val="22"/>
        </w:rPr>
        <w:t xml:space="preserve"> </w:t>
      </w: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w:t>
      </w: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sz w:val="22"/>
          <w:szCs w:val="22"/>
        </w:rPr>
        <w:t xml:space="preserve">, exarada em despacho constante do </w:t>
      </w:r>
      <w:r>
        <w:rPr>
          <w:b/>
          <w:sz w:val="22"/>
          <w:szCs w:val="22"/>
        </w:rPr>
        <w:t xml:space="preserve">Processo Licitatório nº. </w:t>
      </w:r>
      <w:r>
        <w:rPr>
          <w:b/>
          <w:sz w:val="22"/>
          <w:szCs w:val="22"/>
          <w:lang w:val="pt-BR"/>
        </w:rPr>
        <w:t>207/2023</w:t>
      </w:r>
      <w:r>
        <w:rPr>
          <w:sz w:val="22"/>
          <w:szCs w:val="22"/>
        </w:rPr>
        <w:t xml:space="preserve">, gerado pela </w:t>
      </w:r>
      <w:r>
        <w:rPr>
          <w:b/>
          <w:sz w:val="22"/>
          <w:szCs w:val="22"/>
        </w:rPr>
        <w:t xml:space="preserve">Tomada de Preços nº. </w:t>
      </w:r>
      <w:r>
        <w:rPr>
          <w:b/>
          <w:sz w:val="22"/>
          <w:szCs w:val="22"/>
          <w:lang w:val="pt-BR"/>
        </w:rPr>
        <w:t>007/2023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0"/>
          <w:numId w:val="0"/>
        </w:numPr>
        <w:overflowPunct/>
        <w:spacing w:before="0" w:after="0" w:line="240" w:lineRule="auto"/>
        <w:ind w:leftChars="0" w:right="-1" w:rightChars="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EXECUÇÃO DA OBRA DE REFORMA DA SALA DE RAIO-X, NO CENTRO DE ESPECIALIDADES MÉDICAS, LOCALIZADO NA AV. PONTA PORÃ COM A AV. FATIMA DO SUL, Nº 780 - CENTRO, CONFORME MEMORIAL DESCRITIVO. SOLICITAÇÃO DA GERÊNCIA DE OBRAS. PEDIDO DE SERVIÇO Nº 272/2023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207/2023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007/2023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4"/>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4"/>
        </w:numPr>
        <w:spacing w:before="0" w:after="0" w:line="240" w:lineRule="auto"/>
        <w:ind w:left="567" w:hanging="360"/>
        <w:jc w:val="both"/>
        <w:rPr>
          <w:iCs/>
          <w:sz w:val="22"/>
          <w:szCs w:val="22"/>
        </w:rPr>
      </w:pPr>
      <w:r>
        <w:rPr>
          <w:iCs/>
          <w:sz w:val="22"/>
          <w:szCs w:val="22"/>
        </w:rPr>
        <w:t>Seguro-garantia;</w:t>
      </w:r>
    </w:p>
    <w:p>
      <w:pPr>
        <w:numPr>
          <w:ilvl w:val="0"/>
          <w:numId w:val="34"/>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3"/>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overflowPunct/>
        <w:spacing w:before="0" w:after="0" w:line="240" w:lineRule="auto"/>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numPr>
          <w:ilvl w:val="0"/>
          <w:numId w:val="0"/>
        </w:numPr>
        <w:overflowPunct/>
        <w:spacing w:before="0" w:after="0" w:line="240" w:lineRule="auto"/>
        <w:ind w:leftChars="0"/>
        <w:jc w:val="both"/>
        <w:textAlignment w:val="baseline"/>
        <w:rPr>
          <w:iCs/>
          <w:sz w:val="22"/>
          <w:szCs w:val="22"/>
        </w:rPr>
      </w:pPr>
    </w:p>
    <w:p>
      <w:pPr>
        <w:numPr>
          <w:ilvl w:val="0"/>
          <w:numId w:val="36"/>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numPr>
          <w:ilvl w:val="0"/>
          <w:numId w:val="0"/>
        </w:numPr>
        <w:spacing w:before="0" w:after="0" w:line="240" w:lineRule="auto"/>
        <w:ind w:left="426" w:leftChars="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numPr>
          <w:ilvl w:val="0"/>
          <w:numId w:val="0"/>
        </w:numPr>
        <w:spacing w:before="0" w:after="0" w:line="240" w:lineRule="auto"/>
        <w:ind w:left="426" w:leftChars="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b/>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numPr>
          <w:ilvl w:val="0"/>
          <w:numId w:val="0"/>
        </w:numPr>
        <w:overflowPunct/>
        <w:spacing w:before="0" w:after="0" w:line="240" w:lineRule="auto"/>
        <w:ind w:leftChars="0"/>
        <w:jc w:val="both"/>
        <w:textAlignment w:val="baseline"/>
        <w:rPr>
          <w:b/>
          <w:sz w:val="22"/>
          <w:szCs w:val="22"/>
        </w:rPr>
      </w:pPr>
    </w:p>
    <w:p>
      <w:pPr>
        <w:numPr>
          <w:ilvl w:val="1"/>
          <w:numId w:val="35"/>
        </w:numPr>
        <w:overflowPunct/>
        <w:spacing w:before="0" w:after="0" w:line="240" w:lineRule="auto"/>
        <w:ind w:left="567" w:hanging="567"/>
        <w:jc w:val="both"/>
        <w:textAlignment w:val="baseline"/>
        <w:rPr>
          <w:b/>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numPr>
          <w:ilvl w:val="0"/>
          <w:numId w:val="0"/>
        </w:numPr>
        <w:overflowPunct/>
        <w:spacing w:before="0" w:after="0" w:line="240" w:lineRule="auto"/>
        <w:ind w:leftChars="0"/>
        <w:jc w:val="both"/>
        <w:textAlignment w:val="baseline"/>
        <w:rPr>
          <w:b/>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 da Gerência de Saúde</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GERÊNCIA DE SAÚDE : DOTAÇÃO ORÇAMENTÁRIA: 10.01.00.10.302.0504.1.024-44.90.51.00.00.00 (R 1086)</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120 ( cento e vinte ) dias, </w:t>
      </w:r>
      <w:r>
        <w:rPr>
          <w:sz w:val="22"/>
          <w:szCs w:val="22"/>
        </w:rPr>
        <w:t xml:space="preserve"> </w:t>
      </w:r>
      <w:r>
        <w:rPr>
          <w:rFonts w:hint="default"/>
          <w:sz w:val="22"/>
          <w:szCs w:val="22"/>
          <w:lang w:val="pt-BR"/>
        </w:rPr>
        <w:t>tendo seu inicío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7"/>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7"/>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180 ( cento e oitenta ) dias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ind w:left="567" w:right="-1" w:hanging="567"/>
        <w:jc w:val="both"/>
        <w:rPr>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ind w:left="567" w:right="-1" w:hanging="567"/>
        <w:jc w:val="both"/>
        <w:rPr>
          <w:rFonts w:hint="default"/>
          <w:b/>
          <w:iCs/>
          <w:sz w:val="22"/>
          <w:szCs w:val="22"/>
          <w:lang w:val="pt-BR"/>
        </w:rPr>
      </w:pPr>
      <w:r>
        <w:rPr>
          <w:b/>
          <w:iCs/>
          <w:sz w:val="22"/>
          <w:szCs w:val="22"/>
        </w:rPr>
        <w:t>CLÁUSULA NONA – DA EXECUÇÃO</w:t>
      </w:r>
      <w:r>
        <w:rPr>
          <w:rFonts w:hint="default"/>
          <w:b/>
          <w:iCs/>
          <w:sz w:val="22"/>
          <w:szCs w:val="22"/>
          <w:lang w:val="pt-BR"/>
        </w:rPr>
        <w:t xml:space="preserve"> E ESPECIFICAÇÃO DOS SERVIÇOS</w:t>
      </w:r>
    </w:p>
    <w:p>
      <w:pPr>
        <w:ind w:left="567" w:right="-1" w:hanging="567"/>
        <w:jc w:val="both"/>
        <w:rPr>
          <w:rFonts w:hint="default"/>
          <w:b w:val="0"/>
          <w:bCs/>
          <w:iCs/>
          <w:sz w:val="22"/>
          <w:szCs w:val="22"/>
          <w:lang w:val="pt-BR"/>
        </w:rPr>
      </w:pPr>
      <w:r>
        <w:rPr>
          <w:rFonts w:hint="default"/>
          <w:b w:val="0"/>
          <w:bCs/>
          <w:iCs/>
          <w:sz w:val="22"/>
          <w:szCs w:val="22"/>
          <w:lang w:val="pt-BR"/>
        </w:rPr>
        <w:t>9.1 - Os serviços serão executados em consonância com os Projetos executivos de Engenharia e seus complementares, planilha de composição de custos e demais anexos que compõem o termo de referência. As Normas, Manuais, Instruções e Especificações vigentes da ABNT, deverão ser obedecidas.</w:t>
      </w:r>
    </w:p>
    <w:p>
      <w:pPr>
        <w:ind w:left="567" w:right="-1" w:hanging="567"/>
        <w:jc w:val="both"/>
        <w:rPr>
          <w:rFonts w:hint="default"/>
          <w:b w:val="0"/>
          <w:bCs/>
          <w:iCs/>
          <w:sz w:val="22"/>
          <w:szCs w:val="22"/>
          <w:lang w:val="pt-BR"/>
        </w:rPr>
      </w:pPr>
      <w:r>
        <w:rPr>
          <w:rFonts w:hint="default"/>
          <w:b w:val="0"/>
          <w:bCs/>
          <w:iCs/>
          <w:sz w:val="22"/>
          <w:szCs w:val="22"/>
          <w:lang w:val="pt-BR"/>
        </w:rPr>
        <w:t xml:space="preserve">9.2 - Os trabalhos serão iniciados no prazo máximo de 05 (cinco) dias, contados da data de recebimento pela contratada da respectiva ordem de início dos serviços, emitida pelo setor competente, devendo ser observado pela Contratada o cronograma aprovado pelo Contratante, em obediência as normas técnicas, devendo estar concluída no prazo ali estabelecido, podendo ser prorrogado ou suspenso por motivo de força maior ou caso fortuito, nos termo da Lei, por decisão prévia e expressa da Contratante. </w:t>
      </w:r>
    </w:p>
    <w:p>
      <w:pPr>
        <w:ind w:left="567" w:right="-1" w:hanging="567"/>
        <w:jc w:val="both"/>
        <w:rPr>
          <w:rFonts w:hint="default"/>
          <w:b w:val="0"/>
          <w:bCs/>
          <w:iCs/>
          <w:sz w:val="22"/>
          <w:szCs w:val="22"/>
          <w:lang w:val="pt-BR"/>
        </w:rPr>
      </w:pPr>
      <w:r>
        <w:rPr>
          <w:rFonts w:hint="default"/>
          <w:b w:val="0"/>
          <w:bCs/>
          <w:iCs/>
          <w:sz w:val="22"/>
          <w:szCs w:val="22"/>
          <w:lang w:val="pt-BR"/>
        </w:rPr>
        <w:t xml:space="preserve">9.3 - </w:t>
      </w: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right="-1" w:hanging="567"/>
        <w:jc w:val="both"/>
        <w:rPr>
          <w:rFonts w:hint="default"/>
          <w:b w:val="0"/>
          <w:bCs/>
          <w:iCs/>
          <w:sz w:val="22"/>
          <w:szCs w:val="22"/>
          <w:lang w:val="pt-BR"/>
        </w:rPr>
      </w:pPr>
      <w:r>
        <w:rPr>
          <w:rFonts w:hint="default"/>
          <w:b w:val="0"/>
          <w:bCs/>
          <w:iCs/>
          <w:sz w:val="22"/>
          <w:szCs w:val="22"/>
          <w:lang w:val="pt-BR"/>
        </w:rPr>
        <w:t xml:space="preserve">9.4 - </w:t>
      </w: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right="-1" w:hanging="567"/>
        <w:jc w:val="both"/>
        <w:rPr>
          <w:rFonts w:hint="default"/>
          <w:b w:val="0"/>
          <w:bCs/>
          <w:iCs/>
          <w:sz w:val="22"/>
          <w:szCs w:val="22"/>
          <w:lang w:val="pt-BR"/>
        </w:rPr>
      </w:pPr>
      <w:r>
        <w:rPr>
          <w:rFonts w:hint="default"/>
          <w:b w:val="0"/>
          <w:bCs/>
          <w:iCs/>
          <w:sz w:val="22"/>
          <w:szCs w:val="22"/>
          <w:lang w:val="pt-BR"/>
        </w:rPr>
        <w:t xml:space="preserve">9.5 - </w:t>
      </w: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right="-1" w:hanging="567"/>
        <w:jc w:val="both"/>
        <w:rPr>
          <w:rFonts w:hint="default"/>
          <w:b w:val="0"/>
          <w:bCs/>
          <w:iCs/>
          <w:sz w:val="22"/>
          <w:szCs w:val="22"/>
          <w:lang w:val="pt-BR"/>
        </w:rPr>
      </w:pPr>
      <w:r>
        <w:rPr>
          <w:rFonts w:hint="default"/>
          <w:b w:val="0"/>
          <w:bCs/>
          <w:iCs/>
          <w:sz w:val="22"/>
          <w:szCs w:val="22"/>
          <w:lang w:val="pt-BR"/>
        </w:rPr>
        <w:t xml:space="preserve">9.6 - </w:t>
      </w:r>
      <w:r>
        <w:rPr>
          <w:sz w:val="22"/>
          <w:szCs w:val="22"/>
        </w:rPr>
        <w:t>Será de inteira responsabilidade da firma contratada a sinalização dos serviços durante o período de execução.</w:t>
      </w:r>
    </w:p>
    <w:p>
      <w:pPr>
        <w:ind w:left="567" w:right="-1" w:hanging="567"/>
        <w:jc w:val="both"/>
        <w:rPr>
          <w:rFonts w:hint="default"/>
          <w:b w:val="0"/>
          <w:bCs/>
          <w:iCs/>
          <w:sz w:val="22"/>
          <w:szCs w:val="22"/>
          <w:lang w:val="pt-BR"/>
        </w:rPr>
      </w:pPr>
      <w:r>
        <w:rPr>
          <w:rFonts w:hint="default"/>
          <w:b w:val="0"/>
          <w:bCs/>
          <w:iCs/>
          <w:sz w:val="22"/>
          <w:szCs w:val="22"/>
          <w:lang w:val="pt-BR"/>
        </w:rPr>
        <w:t>9.7 - Os serviços serão considerados concluídos somente após o término total de cada frente de serviço, inclusive feita a limpeza geral, bem como reparos, caso a fiscalização julgar necessário.</w:t>
      </w:r>
    </w:p>
    <w:p>
      <w:pPr>
        <w:ind w:left="567" w:right="-1" w:hanging="567"/>
        <w:jc w:val="both"/>
        <w:rPr>
          <w:rFonts w:hint="default"/>
          <w:b w:val="0"/>
          <w:bCs/>
          <w:iCs/>
          <w:sz w:val="22"/>
          <w:szCs w:val="22"/>
          <w:lang w:val="pt-BR"/>
        </w:rPr>
      </w:pPr>
      <w:r>
        <w:rPr>
          <w:rFonts w:hint="default"/>
          <w:b w:val="0"/>
          <w:bCs/>
          <w:iCs/>
          <w:sz w:val="22"/>
          <w:szCs w:val="22"/>
          <w:lang w:val="pt-BR"/>
        </w:rPr>
        <w:t>9.8 - Será de inteira responsabilidade da contratada, efetuar todos os serviços de projeto de engenharia, topografia, locação laboratórios, necessários à realização dos trabalhos.</w:t>
      </w:r>
    </w:p>
    <w:p>
      <w:pPr>
        <w:ind w:left="567" w:right="-1" w:hanging="567"/>
        <w:jc w:val="both"/>
        <w:rPr>
          <w:rFonts w:hint="default"/>
          <w:b w:val="0"/>
          <w:bCs/>
          <w:iCs/>
          <w:sz w:val="22"/>
          <w:szCs w:val="22"/>
          <w:lang w:val="pt-BR"/>
        </w:rPr>
      </w:pPr>
      <w:r>
        <w:rPr>
          <w:rFonts w:hint="default"/>
          <w:b w:val="0"/>
          <w:bCs/>
          <w:iCs/>
          <w:sz w:val="22"/>
          <w:szCs w:val="22"/>
          <w:lang w:val="pt-BR"/>
        </w:rPr>
        <w:t>9.9 - A contratada deverá indicar um engenheiro responsável pela obra por ocasião da assinatura do contrato, fornecendo a fiscalização o currículo do profissional e a ART (Anotação de Responsabilidade Técnica) dos serviços.</w:t>
      </w:r>
    </w:p>
    <w:p>
      <w:pPr>
        <w:ind w:left="567" w:right="-1" w:hanging="567"/>
        <w:jc w:val="both"/>
        <w:rPr>
          <w:rFonts w:hint="default"/>
          <w:b w:val="0"/>
          <w:bCs/>
          <w:iCs/>
          <w:sz w:val="22"/>
          <w:szCs w:val="22"/>
          <w:lang w:val="pt-BR"/>
        </w:rPr>
      </w:pPr>
      <w:r>
        <w:rPr>
          <w:rFonts w:hint="default"/>
          <w:b w:val="0"/>
          <w:bCs/>
          <w:iCs/>
          <w:sz w:val="22"/>
          <w:szCs w:val="22"/>
          <w:lang w:val="pt-BR"/>
        </w:rPr>
        <w:t>9.10 - A contratada terá responsabilidade exclusiva sobre a segurança e assistência de seus empregados fazendo cumprir, no que couber, exigência da Lei Federal nº 6.514 de 22/12/1977 e suas Normas Regulamentadoras.</w:t>
      </w:r>
    </w:p>
    <w:p>
      <w:pPr>
        <w:ind w:left="567" w:right="-1" w:hanging="567"/>
        <w:jc w:val="both"/>
        <w:rPr>
          <w:rFonts w:hint="default"/>
          <w:b w:val="0"/>
          <w:bCs/>
          <w:iCs/>
          <w:sz w:val="22"/>
          <w:szCs w:val="22"/>
          <w:lang w:val="pt-BR"/>
        </w:rPr>
      </w:pPr>
      <w:r>
        <w:rPr>
          <w:rFonts w:hint="default"/>
          <w:b w:val="0"/>
          <w:bCs/>
          <w:iCs/>
          <w:sz w:val="22"/>
          <w:szCs w:val="22"/>
          <w:lang w:val="pt-BR"/>
        </w:rPr>
        <w:t>9.11 - Executados os serviços de cada ordem de Serviço, o seu objeto será recebido:</w:t>
      </w:r>
    </w:p>
    <w:p>
      <w:pPr>
        <w:ind w:left="567" w:right="-1" w:hanging="567"/>
        <w:jc w:val="both"/>
        <w:rPr>
          <w:rFonts w:hint="default"/>
          <w:b w:val="0"/>
          <w:bCs/>
          <w:iCs/>
          <w:sz w:val="22"/>
          <w:szCs w:val="22"/>
          <w:lang w:val="pt-BR"/>
        </w:rPr>
      </w:pPr>
      <w:r>
        <w:rPr>
          <w:rFonts w:hint="default"/>
          <w:b w:val="0"/>
          <w:bCs/>
          <w:iCs/>
          <w:sz w:val="22"/>
          <w:szCs w:val="22"/>
          <w:lang w:val="pt-BR"/>
        </w:rPr>
        <w:t>I. Parcialmente pela Prefeitura mediante Termo de Recebimento Provisório, assinado pela partes, que será precedida de efetuação da Medição.</w:t>
      </w:r>
    </w:p>
    <w:p>
      <w:pPr>
        <w:ind w:left="567" w:right="-1" w:hanging="567"/>
        <w:jc w:val="both"/>
        <w:rPr>
          <w:rFonts w:hint="default"/>
          <w:b w:val="0"/>
          <w:bCs/>
          <w:iCs/>
          <w:sz w:val="22"/>
          <w:szCs w:val="22"/>
          <w:lang w:val="pt-BR"/>
        </w:rPr>
      </w:pPr>
      <w:r>
        <w:rPr>
          <w:rFonts w:hint="default"/>
          <w:b w:val="0"/>
          <w:bCs/>
          <w:iCs/>
          <w:sz w:val="22"/>
          <w:szCs w:val="22"/>
          <w:lang w:val="pt-BR"/>
        </w:rPr>
        <w:t>II. Definitivamente pela Comissão de Fiscalização mediante Termo de Recebimento Definitivo, assinado pelas partes após o decurso do prazo de observação, ou de vistoria que comprove a adequação do objeto aos termos contratuais, que fica fixado em 30 (trinta) dias.</w:t>
      </w:r>
    </w:p>
    <w:p>
      <w:pPr>
        <w:ind w:left="567" w:right="-1" w:hanging="567"/>
        <w:jc w:val="both"/>
        <w:rPr>
          <w:rFonts w:hint="default"/>
          <w:b w:val="0"/>
          <w:bCs/>
          <w:iCs/>
          <w:sz w:val="22"/>
          <w:szCs w:val="22"/>
          <w:lang w:val="pt-BR"/>
        </w:rPr>
      </w:pPr>
      <w:r>
        <w:rPr>
          <w:rFonts w:hint="default"/>
          <w:b w:val="0"/>
          <w:bCs/>
          <w:iCs/>
          <w:sz w:val="22"/>
          <w:szCs w:val="22"/>
          <w:lang w:val="pt-BR"/>
        </w:rPr>
        <w:t>III. O Termo de Recebimento Definitivo não eximirá a contratada das obrigações definidas nos artigos 69 da Lei nº 8.666/93 e § 2º do art. 73 da mesma Lei.</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9.12 - A contratada fica obrigada a aceitar nas mesma condições contratuais, os acréscimos ou supressões que se fizerem no objeto contratual até o limite legal do valor do contrato, de acordo com o disposto no art. 65, Inciso I e § 1º da Lei Federal nº 8.666/93</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9.13 - É vedado</w:t>
      </w:r>
      <w:r>
        <w:rPr>
          <w:rFonts w:hint="default"/>
          <w:b w:val="0"/>
          <w:bCs/>
          <w:iCs/>
          <w:sz w:val="22"/>
          <w:szCs w:val="22"/>
          <w:highlight w:val="none"/>
          <w:lang w:val="pt-BR"/>
        </w:rPr>
        <w:t xml:space="preserve"> a subcontratação parci</w:t>
      </w:r>
      <w:r>
        <w:rPr>
          <w:rFonts w:hint="default"/>
          <w:b w:val="0"/>
          <w:bCs/>
          <w:iCs/>
          <w:sz w:val="22"/>
          <w:szCs w:val="22"/>
          <w:lang w:val="pt-BR"/>
        </w:rPr>
        <w:t>al ou integral dos serviços, objeto desta licitação.</w:t>
      </w: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9.14 - </w:t>
      </w:r>
      <w:r>
        <w:rPr>
          <w:sz w:val="22"/>
          <w:szCs w:val="22"/>
        </w:rPr>
        <w:t>A obra só poderá ser iniciada após a emissão da Ordem de Serviços pela Gerência de Obras.</w:t>
      </w:r>
    </w:p>
    <w:p>
      <w:pPr>
        <w:numPr>
          <w:ilvl w:val="0"/>
          <w:numId w:val="0"/>
        </w:numPr>
        <w:overflowPunct/>
        <w:spacing w:before="0" w:after="0" w:line="240" w:lineRule="auto"/>
        <w:ind w:leftChars="0"/>
        <w:jc w:val="both"/>
        <w:textAlignment w:val="baseline"/>
        <w:rPr>
          <w:rFonts w:hint="default"/>
          <w:iCs/>
          <w:sz w:val="22"/>
          <w:szCs w:val="22"/>
          <w:lang w:val="pt-BR"/>
        </w:rPr>
      </w:pPr>
    </w:p>
    <w:p>
      <w:pPr>
        <w:numPr>
          <w:ilvl w:val="0"/>
          <w:numId w:val="0"/>
        </w:numPr>
        <w:overflowPunct/>
        <w:spacing w:before="0" w:after="0" w:line="240" w:lineRule="auto"/>
        <w:ind w:leftChars="0"/>
        <w:jc w:val="both"/>
        <w:textAlignment w:val="baseline"/>
        <w:rPr>
          <w:sz w:val="22"/>
          <w:szCs w:val="22"/>
        </w:rPr>
      </w:pPr>
      <w:r>
        <w:rPr>
          <w:rFonts w:hint="default"/>
          <w:iCs/>
          <w:sz w:val="22"/>
          <w:szCs w:val="22"/>
          <w:lang w:val="pt-BR"/>
        </w:rPr>
        <w:t xml:space="preserve">9.15 - </w:t>
      </w:r>
      <w:r>
        <w:rPr>
          <w:iCs/>
          <w:sz w:val="22"/>
          <w:szCs w:val="22"/>
        </w:rPr>
        <w:t>A Contratad</w:t>
      </w:r>
      <w:r>
        <w:rPr>
          <w:b w:val="0"/>
          <w:bCs w:val="0"/>
          <w:iCs/>
          <w:sz w:val="22"/>
          <w:szCs w:val="22"/>
        </w:rPr>
        <w:t>a deverá a</w:t>
      </w:r>
      <w:r>
        <w:rPr>
          <w:iCs/>
          <w:sz w:val="22"/>
          <w:szCs w:val="22"/>
        </w:rPr>
        <w:t>presentar Alvará de Construção para a Obra, retirado junto a Gerência de Obras;</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b w:val="0"/>
          <w:bCs w:val="0"/>
          <w:sz w:val="22"/>
          <w:szCs w:val="22"/>
        </w:rPr>
      </w:pPr>
      <w:r>
        <w:rPr>
          <w:rFonts w:hint="default"/>
          <w:iCs/>
          <w:sz w:val="22"/>
          <w:szCs w:val="22"/>
          <w:lang w:val="pt-BR"/>
        </w:rPr>
        <w:t xml:space="preserve">9.16 - </w:t>
      </w:r>
      <w:r>
        <w:rPr>
          <w:iCs/>
          <w:sz w:val="22"/>
          <w:szCs w:val="22"/>
        </w:rPr>
        <w:t>A empre</w:t>
      </w:r>
      <w:r>
        <w:rPr>
          <w:b w:val="0"/>
          <w:bCs w:val="0"/>
          <w:iCs/>
          <w:sz w:val="22"/>
          <w:szCs w:val="22"/>
        </w:rPr>
        <w:t>sa deverá fornecer e afixar as placas conforme solicitado pela Gerência de Obras</w:t>
      </w:r>
      <w:r>
        <w:rPr>
          <w:b w:val="0"/>
          <w:bCs w:val="0"/>
          <w:sz w:val="22"/>
          <w:szCs w:val="22"/>
        </w:rPr>
        <w:t>.</w:t>
      </w:r>
    </w:p>
    <w:p>
      <w:pPr>
        <w:spacing w:before="0" w:after="200"/>
        <w:ind w:left="567" w:firstLine="0"/>
        <w:contextualSpacing/>
        <w:jc w:val="both"/>
        <w:rPr>
          <w:rFonts w:eastAsia="Calibri"/>
          <w:b w:val="0"/>
          <w:bCs w:val="0"/>
          <w:sz w:val="22"/>
          <w:szCs w:val="22"/>
        </w:rPr>
      </w:pPr>
    </w:p>
    <w:p>
      <w:pPr>
        <w:numPr>
          <w:ilvl w:val="0"/>
          <w:numId w:val="0"/>
        </w:numPr>
        <w:overflowPunct/>
        <w:spacing w:before="0" w:after="0" w:line="240" w:lineRule="auto"/>
        <w:ind w:leftChars="0"/>
        <w:jc w:val="both"/>
        <w:textAlignment w:val="baseline"/>
        <w:rPr>
          <w:sz w:val="22"/>
          <w:szCs w:val="22"/>
        </w:rPr>
      </w:pPr>
      <w:r>
        <w:rPr>
          <w:rFonts w:hint="default"/>
          <w:b w:val="0"/>
          <w:bCs w:val="0"/>
          <w:sz w:val="22"/>
          <w:szCs w:val="22"/>
          <w:lang w:val="pt-BR"/>
        </w:rPr>
        <w:t xml:space="preserve">9.17 - </w:t>
      </w:r>
      <w:r>
        <w:rPr>
          <w:b w:val="0"/>
          <w:bCs w:val="0"/>
          <w:sz w:val="22"/>
          <w:szCs w:val="22"/>
        </w:rPr>
        <w:t>Os serviços deverão ser executados de acordo com o Projeto, Cronograma Físico-financeiro e o Memorial Descritivo, parte integrant</w:t>
      </w:r>
      <w:r>
        <w:rPr>
          <w:sz w:val="22"/>
          <w:szCs w:val="22"/>
        </w:rPr>
        <w:t>e deste Contrato;</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9.18 - </w:t>
      </w:r>
      <w:r>
        <w:rPr>
          <w:sz w:val="22"/>
          <w:szCs w:val="22"/>
        </w:rPr>
        <w:t>Todo pessoal da contr</w:t>
      </w:r>
      <w:r>
        <w:rPr>
          <w:b w:val="0"/>
          <w:bCs w:val="0"/>
          <w:sz w:val="22"/>
          <w:szCs w:val="22"/>
        </w:rPr>
        <w:t>atada deverá po</w:t>
      </w:r>
      <w:r>
        <w:rPr>
          <w:sz w:val="22"/>
          <w:szCs w:val="22"/>
        </w:rPr>
        <w:t xml:space="preserve">ssuir habilitação e experiência para executar adequadamente os serviços que lhes forem atribuídos.   </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0"/>
          <w:numId w:val="0"/>
        </w:numPr>
        <w:overflowPunct/>
        <w:spacing w:before="0" w:after="0" w:line="240" w:lineRule="auto"/>
        <w:ind w:leftChars="0"/>
        <w:jc w:val="both"/>
        <w:textAlignment w:val="baseline"/>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38"/>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38"/>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spacing w:after="0" w:line="240" w:lineRule="auto"/>
        <w:ind w:left="0"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Promover diligências junto aos órgãos competentes e/ou concessionárias de serviços públicos, para as respectivas aprovações de projetos, quando for o caso. Ressalta-se, ainda que caberá a CONTRATADA</w:t>
      </w:r>
      <w:r>
        <w:rPr>
          <w:rFonts w:hint="default"/>
          <w:sz w:val="22"/>
          <w:szCs w:val="22"/>
          <w:lang w:val="pt-BR"/>
        </w:rPr>
        <w:tab/>
      </w:r>
      <w:r>
        <w:rPr>
          <w:rFonts w:hint="default"/>
          <w:sz w:val="22"/>
          <w:szCs w:val="22"/>
          <w:lang w:val="pt-BR"/>
        </w:rPr>
        <w:t>, todo o ônus e/ou providências cabíveis para remanejamento de instalações junto à locação da obra.</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rFonts w:hint="default"/>
          <w:sz w:val="22"/>
          <w:szCs w:val="22"/>
          <w:lang w:val="en-US"/>
        </w:rPr>
      </w:pPr>
      <w:r>
        <w:rPr>
          <w:rFonts w:hint="default"/>
          <w:sz w:val="22"/>
          <w:szCs w:val="22"/>
          <w:lang w:val="pt-BR"/>
        </w:rPr>
        <w:t>Possuir corpo técnico qualificado em conformidade com o porte da obra contratada e Anotações de Responsabilidade Técnica apresentadas em processo licitatório a que este CONTRATO se vincula.</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Manter durante toda a execução do contrato, em compatibilidade com as obrigações por ela assumidas, todas a condições de habilitação e qualificação exigidas para a presente contratação.</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Executar os serviços de acordo com as especificações técnicas e prazos determinados no Edital, como também de acordo com o cronograma físico-financeiro. Caso esta obrigação não seja cumprida dentro do prazo, a contratada ficará sujeita a multa.</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Manter a equipe executora dos serviços convenientemente uniformizada e com identificação por meio de crachá.</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Propiciar o acesso da fiscalização da CONTRATANTE aos locais onde se realizarão os serviços, para verificação do efetivo cumprimento das condições pactuadas.</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A atuação da comissão fiscalizadora da CONTRATANTE não exime a contratada de sua total e exclusiva responsabilidade sobre a qualidade dos serviços.</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Empregar boa técnica na execução dos serviços, com matérias de primeira qualidade, de acordo com o previsto em Edital, projeto e demais documentos. Atentar-se as questões de Impacto Ambiental;</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Executar todos os serviços complementares julgados necessários para que o local tenha condições de uso satisfatório.</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lang w:val="pt-BR"/>
        </w:rPr>
        <w:t>Corrigir e/ou refazer os serviços e substituir os materiais, às suas expensas, não aprovados pela fiscalização da Contratante, caso os mesmos não atendam às especificações técnicas constantes do Projeto.</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rPr>
        <w:t>Fornecer, além dos materiais especificados e mão de obra permanente, todas as ferramentas necessárias, ficando responsável por seu transporte e guarda.</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rPr>
        <w:t>Fornecer a seus funcionários uniformes e equipamentos de proteção individual (EPI’s) e coletiva adequados à execução dos serviços e em conformidade com as normas de segurança vigentes.</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sz w:val="22"/>
          <w:szCs w:val="22"/>
        </w:rPr>
      </w:pPr>
      <w:r>
        <w:rPr>
          <w:rFonts w:hint="default"/>
          <w:sz w:val="22"/>
          <w:szCs w:val="22"/>
        </w:rPr>
        <w:t>Responsabilizar-se por quaisquer danos ao patrimônio da contratante, causados por seus funcionários em virtude da execução dos serviços.</w:t>
      </w:r>
    </w:p>
    <w:p>
      <w:pPr>
        <w:numPr>
          <w:ilvl w:val="0"/>
          <w:numId w:val="0"/>
        </w:numPr>
        <w:overflowPunct/>
        <w:spacing w:before="0" w:after="0" w:line="240" w:lineRule="auto"/>
        <w:ind w:leftChars="0"/>
        <w:jc w:val="both"/>
        <w:textAlignment w:val="baseline"/>
        <w:rPr>
          <w:sz w:val="22"/>
          <w:szCs w:val="22"/>
        </w:rPr>
      </w:pPr>
    </w:p>
    <w:p>
      <w:pPr>
        <w:numPr>
          <w:ilvl w:val="1"/>
          <w:numId w:val="38"/>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Executar limpeza geral, ao final da execução dos serviços, devendo a obra ser entregue em perfeitas condições de ocupação e uso.</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Obedecer sempre às recomendações dos fabricantes na aplicação dos materiais industrializados e dos de emprego Permanente, cabendo à CONTRATADA, em qualquer caso, a responsabilidade técnica e os ônus decorrentes de sua má aplicação.</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 xml:space="preserve">Proceder à substituição, em até 24 horas a partir da comunicação, de materiais, ferramentas ou equipamentos julgados pela fiscalização da Contratante como inadequados para a execução dos serviços. </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Responder, integralmente, por perdas e danos que vier a causar à contratante ou a terceiros em razão de ação ou omissão, dolosa ou culposa, sua ou dos seus prepostos, independentemente de outras cominações contratuais ou legais a que estiver sujeita.</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 xml:space="preserve">Providenciar para todos os seus funcionários o uso de EPI (equipamento de proteção individual). </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A Contratante não aceitará, sob nenhum pretexto, a transferência de responsabilidade da Contratada para outras entidades, sejam fabricantes, técnicos ou quaisquer outros.</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39"/>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39"/>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39"/>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0"/>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1"/>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numPr>
          <w:ilvl w:val="0"/>
          <w:numId w:val="41"/>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numPr>
          <w:ilvl w:val="1"/>
          <w:numId w:val="40"/>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2"/>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2"/>
        </w:numPr>
        <w:spacing w:before="0" w:after="0" w:line="240" w:lineRule="auto"/>
        <w:ind w:left="567" w:hanging="142"/>
        <w:jc w:val="both"/>
        <w:rPr>
          <w:sz w:val="22"/>
          <w:szCs w:val="22"/>
        </w:rPr>
      </w:pPr>
      <w:r>
        <w:rPr>
          <w:sz w:val="22"/>
          <w:szCs w:val="22"/>
        </w:rPr>
        <w:t>Multa;</w:t>
      </w:r>
    </w:p>
    <w:p>
      <w:pPr>
        <w:numPr>
          <w:ilvl w:val="0"/>
          <w:numId w:val="43"/>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numPr>
          <w:ilvl w:val="0"/>
          <w:numId w:val="43"/>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numPr>
          <w:ilvl w:val="0"/>
          <w:numId w:val="43"/>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4"/>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4"/>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4"/>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0"/>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5"/>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5"/>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5"/>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5"/>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5"/>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5"/>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5"/>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6"/>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6"/>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7"/>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7"/>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center"/>
              <w:textAlignment w:val="baseline"/>
              <w:rPr>
                <w:rFonts w:ascii="Times New Roman" w:hAnsi="Times New Roman" w:eastAsia="MS Mincho" w:cs="Times New Roman"/>
                <w:b/>
                <w:iCs/>
                <w:kern w:val="0"/>
                <w:sz w:val="22"/>
                <w:szCs w:val="22"/>
                <w:lang w:val="pt-BR" w:eastAsia="en-US"/>
              </w:rPr>
            </w:pPr>
            <w:r>
              <w:rPr>
                <w:rFonts w:eastAsia="MS Mincho" w:cs="Times New Roman"/>
                <w:b/>
                <w:iCs/>
                <w:kern w:val="0"/>
                <w:sz w:val="22"/>
                <w:szCs w:val="22"/>
                <w:lang w:val="pt-BR" w:eastAsia="en-US"/>
              </w:rPr>
              <w:t>MARIANA CRUZ ROSADA</w:t>
            </w:r>
          </w:p>
          <w:p>
            <w:pPr>
              <w:widowControl w:val="0"/>
              <w:tabs>
                <w:tab w:val="left" w:pos="5562"/>
              </w:tabs>
              <w:spacing w:after="0"/>
              <w:ind w:right="33"/>
              <w:jc w:val="center"/>
              <w:textAlignment w:val="baseline"/>
              <w:rPr>
                <w:rFonts w:eastAsia="MS Mincho" w:cs="Times New Roman"/>
                <w:b/>
                <w:iCs/>
                <w:kern w:val="0"/>
                <w:sz w:val="22"/>
                <w:szCs w:val="22"/>
                <w:lang w:eastAsia="en-US"/>
              </w:rPr>
            </w:pPr>
            <w:r>
              <w:rPr>
                <w:rFonts w:eastAsia="MS Mincho" w:cs="Times New Roman"/>
                <w:b/>
                <w:iCs/>
                <w:kern w:val="0"/>
                <w:sz w:val="22"/>
                <w:szCs w:val="22"/>
                <w:lang w:eastAsia="en-US"/>
              </w:rPr>
              <w:t>Gerente de Saúde e Ordenador</w:t>
            </w:r>
            <w:r>
              <w:rPr>
                <w:rFonts w:eastAsia="MS Mincho" w:cs="Times New Roman"/>
                <w:b/>
                <w:iCs/>
                <w:kern w:val="0"/>
                <w:sz w:val="22"/>
                <w:szCs w:val="22"/>
                <w:lang w:val="pt-BR" w:eastAsia="en-US"/>
              </w:rPr>
              <w:t>a</w:t>
            </w:r>
            <w:r>
              <w:rPr>
                <w:rFonts w:eastAsia="MS Mincho" w:cs="Times New Roman"/>
                <w:b/>
                <w:iCs/>
                <w:kern w:val="0"/>
                <w:sz w:val="22"/>
                <w:szCs w:val="22"/>
                <w:lang w:eastAsia="en-US"/>
              </w:rPr>
              <w:t xml:space="preserve"> de Despesas</w:t>
            </w:r>
          </w:p>
          <w:p>
            <w:pPr>
              <w:widowControl w:val="0"/>
              <w:tabs>
                <w:tab w:val="left" w:pos="5562"/>
              </w:tabs>
              <w:spacing w:after="0"/>
              <w:ind w:right="33"/>
              <w:jc w:val="center"/>
              <w:textAlignment w:val="baseline"/>
              <w:rPr>
                <w:rFonts w:hint="default"/>
                <w:b/>
                <w:iCs/>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w:t>
            </w:r>
            <w:r>
              <w:rPr>
                <w:rFonts w:hint="default" w:eastAsia="MS Mincho"/>
                <w:b/>
                <w:iCs/>
                <w:kern w:val="0"/>
                <w:sz w:val="22"/>
                <w:szCs w:val="22"/>
                <w:lang w:val="pt-BR"/>
              </w:rPr>
              <w:t>33</w:t>
            </w:r>
            <w:r>
              <w:rPr>
                <w:rFonts w:eastAsia="MS Mincho"/>
                <w:b/>
                <w:iCs/>
                <w:kern w:val="0"/>
                <w:sz w:val="22"/>
                <w:szCs w:val="22"/>
                <w:lang w:val="pt-BR"/>
              </w:rPr>
              <w:t>/2023</w:t>
            </w:r>
          </w:p>
          <w:p>
            <w:pPr>
              <w:widowControl w:val="0"/>
              <w:tabs>
                <w:tab w:val="left" w:pos="5562"/>
              </w:tabs>
              <w:spacing w:before="0" w:after="0"/>
              <w:ind w:right="33" w:rightChars="0" w:firstLine="2098" w:firstLineChars="950"/>
              <w:jc w:val="left"/>
              <w:textAlignment w:val="baseline"/>
              <w:rPr>
                <w:rFonts w:eastAsia="Times New Roman"/>
                <w:b/>
                <w:iCs/>
                <w:sz w:val="22"/>
                <w:szCs w:val="22"/>
                <w:lang w:eastAsia="pt-BR"/>
              </w:rPr>
            </w:pPr>
            <w:r>
              <w:rPr>
                <w:rFonts w:eastAsia="MS Mincho"/>
                <w:b/>
                <w:iCs/>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rPr>
          <w:b/>
          <w:sz w:val="22"/>
          <w:szCs w:val="22"/>
        </w:rPr>
      </w:pPr>
    </w:p>
    <w:p>
      <w:pPr>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207/2023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007/2023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after="0" w:line="240" w:lineRule="auto"/>
        <w:ind w:right="0" w:firstLine="0"/>
        <w:jc w:val="both"/>
        <w:rPr>
          <w:rFonts w:hint="default"/>
          <w:b/>
          <w:bCs/>
          <w:iCs/>
          <w:sz w:val="22"/>
          <w:szCs w:val="22"/>
        </w:rPr>
      </w:pPr>
      <w:r>
        <w:rPr>
          <w:b/>
          <w:bCs/>
          <w:iCs/>
          <w:sz w:val="22"/>
          <w:szCs w:val="22"/>
        </w:rPr>
        <w:t xml:space="preserve">OBJETO: </w:t>
      </w:r>
      <w:r>
        <w:rPr>
          <w:rFonts w:hint="default"/>
          <w:b/>
          <w:bCs/>
          <w:iCs/>
          <w:sz w:val="22"/>
          <w:szCs w:val="22"/>
        </w:rPr>
        <w:t>CONTRATAÇÃO DE EMPRESA ESPECIALIZADA EM SERVIÇOS DE ENGENHARIA, PARA EXECUÇÃO DA OBRA DE REFORMA DA SALA DE RAIO-X, NO CENTRO DE ESPECIALIDADES MÉDICAS, LOCALIZADO NA AV. PONTA PORÃ COM A AV. FATIMA DO SUL, Nº 780 - CENTRO, CONFORME MEMORIAL DESCRITIVO. SOLICITAÇÃO DA GERÊNCIA DE OBRAS. PEDIDO DE SERVIÇO Nº 272/2023.</w:t>
      </w:r>
    </w:p>
    <w:p>
      <w:pPr>
        <w:tabs>
          <w:tab w:val="left" w:pos="10632"/>
          <w:tab w:val="left" w:pos="10773"/>
          <w:tab w:val="left" w:pos="10915"/>
          <w:tab w:val="left" w:pos="11199"/>
        </w:tabs>
        <w:spacing w:after="0" w:line="240" w:lineRule="auto"/>
        <w:ind w:right="0" w:firstLine="0"/>
        <w:jc w:val="both"/>
        <w:rPr>
          <w:rFonts w:hint="default"/>
          <w:b/>
          <w:bCs/>
          <w:iCs/>
          <w:sz w:val="22"/>
          <w:szCs w:val="22"/>
          <w:lang w:val="pt-BR" w:eastAsia="pt-BR"/>
        </w:rPr>
      </w:pPr>
    </w:p>
    <w:p>
      <w:pPr>
        <w:spacing w:before="0" w:after="0"/>
        <w:jc w:val="both"/>
        <w:textAlignment w:val="baseline"/>
        <w:rPr>
          <w:iCs/>
          <w:sz w:val="22"/>
          <w:szCs w:val="22"/>
        </w:rPr>
      </w:pP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Saúde</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48"/>
        </w:numPr>
        <w:tabs>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48"/>
        </w:numPr>
        <w:tabs>
          <w:tab w:val="left" w:pos="10915"/>
        </w:tabs>
        <w:overflowPunct/>
        <w:spacing w:before="0" w:after="240" w:line="240" w:lineRule="auto"/>
        <w:ind w:left="488" w:leftChars="0" w:right="46" w:hanging="488" w:firstLineChars="0"/>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48"/>
        </w:numPr>
        <w:tabs>
          <w:tab w:val="left" w:pos="10915"/>
        </w:tabs>
        <w:overflowPunct/>
        <w:spacing w:before="0" w:after="240" w:line="240" w:lineRule="auto"/>
        <w:ind w:left="488" w:leftChars="0" w:right="46" w:hanging="488" w:firstLineChars="0"/>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48"/>
        </w:numPr>
        <w:tabs>
          <w:tab w:val="left" w:pos="10915"/>
        </w:tabs>
        <w:overflowPunct/>
        <w:spacing w:before="0" w:after="240" w:line="240" w:lineRule="auto"/>
        <w:ind w:left="488" w:leftChars="0" w:right="46" w:hanging="488" w:firstLineChars="0"/>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48"/>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48"/>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rFonts w:hint="default"/>
                <w:b/>
                <w:iCs/>
                <w:sz w:val="22"/>
                <w:szCs w:val="22"/>
              </w:rPr>
            </w:pPr>
            <w:r>
              <w:rPr>
                <w:rFonts w:hint="default"/>
                <w:b/>
                <w:iCs/>
                <w:sz w:val="22"/>
                <w:szCs w:val="22"/>
              </w:rPr>
              <w:t>MARIANA CRUZ ROSADA</w:t>
            </w:r>
          </w:p>
          <w:p>
            <w:pPr>
              <w:widowControl w:val="0"/>
              <w:tabs>
                <w:tab w:val="left" w:pos="5562"/>
              </w:tabs>
              <w:spacing w:before="0" w:after="0"/>
              <w:ind w:right="33" w:firstLine="0"/>
              <w:jc w:val="left"/>
              <w:textAlignment w:val="baseline"/>
              <w:rPr>
                <w:b/>
                <w:iCs/>
                <w:sz w:val="22"/>
                <w:szCs w:val="22"/>
              </w:rPr>
            </w:pPr>
            <w:r>
              <w:rPr>
                <w:rFonts w:hint="default"/>
                <w:b/>
                <w:iCs/>
                <w:sz w:val="22"/>
                <w:szCs w:val="22"/>
              </w:rPr>
              <w:t>Gerente de Saúde e Ordenadora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lang w:val="pt-BR"/>
              </w:rPr>
            </w:pPr>
            <w:r>
              <w:rPr>
                <w:rFonts w:eastAsia="MS Mincho"/>
                <w:b/>
                <w:iCs/>
                <w:kern w:val="0"/>
                <w:sz w:val="22"/>
                <w:szCs w:val="22"/>
              </w:rPr>
              <w:t xml:space="preserve">Conforme Decreto nº </w:t>
            </w:r>
            <w:r>
              <w:rPr>
                <w:rFonts w:eastAsia="MS Mincho"/>
                <w:b/>
                <w:iCs/>
                <w:kern w:val="0"/>
                <w:sz w:val="22"/>
                <w:szCs w:val="22"/>
                <w:lang w:val="pt-BR"/>
              </w:rPr>
              <w:t>0</w:t>
            </w:r>
            <w:r>
              <w:rPr>
                <w:rFonts w:hint="default" w:eastAsia="MS Mincho"/>
                <w:b/>
                <w:iCs/>
                <w:kern w:val="0"/>
                <w:sz w:val="22"/>
                <w:szCs w:val="22"/>
                <w:lang w:val="pt-BR"/>
              </w:rPr>
              <w:t>33</w:t>
            </w:r>
            <w:r>
              <w:rPr>
                <w:rFonts w:eastAsia="MS Mincho"/>
                <w:b/>
                <w:iCs/>
                <w:kern w:val="0"/>
                <w:sz w:val="22"/>
                <w:szCs w:val="22"/>
                <w:lang w:val="pt-BR"/>
              </w:rPr>
              <w:t>/2023</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207/2023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007/2023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49"/>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49"/>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49"/>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007/2023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007/2023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w:t>
      </w:r>
      <w:r>
        <w:rPr>
          <w:rFonts w:hint="default"/>
          <w:sz w:val="22"/>
          <w:szCs w:val="22"/>
          <w:lang w:val="pt-BR"/>
        </w:rPr>
        <w:t>3</w:t>
      </w:r>
      <w:r>
        <w:rPr>
          <w:sz w:val="22"/>
          <w:szCs w:val="22"/>
        </w:rPr>
        <w:t>.</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0">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1">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2">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3">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4">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5">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6">
    <w:nsid w:val="31FB66C2"/>
    <w:multiLevelType w:val="singleLevel"/>
    <w:tmpl w:val="31FB66C2"/>
    <w:lvl w:ilvl="0" w:tentative="0">
      <w:start w:val="1"/>
      <w:numFmt w:val="lowerLetter"/>
      <w:suff w:val="space"/>
      <w:lvlText w:val="%1)"/>
      <w:lvlJc w:val="left"/>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rPr>
        <w:rFonts w:hint="default"/>
        <w:b w:val="0"/>
        <w:bCs w:val="0"/>
      </w:r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9">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0">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1">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33"/>
    <w:lvlOverride w:ilvl="0">
      <w:startOverride w:val="1"/>
    </w:lvlOverride>
  </w:num>
  <w:num w:numId="4">
    <w:abstractNumId w:val="33"/>
  </w:num>
  <w:num w:numId="5">
    <w:abstractNumId w:val="24"/>
    <w:lvlOverride w:ilvl="2">
      <w:startOverride w:val="1"/>
    </w:lvlOverride>
  </w:num>
  <w:num w:numId="6">
    <w:abstractNumId w:val="13"/>
  </w:num>
  <w:num w:numId="7">
    <w:abstractNumId w:val="5"/>
    <w:lvlOverride w:ilvl="1">
      <w:startOverride w:val="1"/>
    </w:lvlOverride>
  </w:num>
  <w:num w:numId="8">
    <w:abstractNumId w:val="31"/>
  </w:num>
  <w:num w:numId="9">
    <w:abstractNumId w:val="6"/>
    <w:lvlOverride w:ilvl="0">
      <w:startOverride w:val="1"/>
    </w:lvlOverride>
  </w:num>
  <w:num w:numId="10">
    <w:abstractNumId w:val="39"/>
  </w:num>
  <w:num w:numId="11">
    <w:abstractNumId w:val="6"/>
  </w:num>
  <w:num w:numId="12">
    <w:abstractNumId w:val="10"/>
  </w:num>
  <w:num w:numId="13">
    <w:abstractNumId w:val="38"/>
  </w:num>
  <w:num w:numId="14">
    <w:abstractNumId w:val="4"/>
    <w:lvlOverride w:ilvl="0">
      <w:startOverride w:val="1"/>
    </w:lvlOverride>
  </w:num>
  <w:num w:numId="15">
    <w:abstractNumId w:val="4"/>
  </w:num>
  <w:num w:numId="16">
    <w:abstractNumId w:val="1"/>
    <w:lvlOverride w:ilvl="0">
      <w:startOverride w:val="1"/>
    </w:lvlOverride>
  </w:num>
  <w:num w:numId="17">
    <w:abstractNumId w:val="1"/>
  </w:num>
  <w:num w:numId="18">
    <w:abstractNumId w:val="41"/>
    <w:lvlOverride w:ilvl="0">
      <w:startOverride w:val="1"/>
    </w:lvlOverride>
  </w:num>
  <w:num w:numId="19">
    <w:abstractNumId w:val="41"/>
  </w:num>
  <w:num w:numId="20">
    <w:abstractNumId w:val="23"/>
    <w:lvlOverride w:ilvl="0">
      <w:startOverride w:val="1"/>
    </w:lvlOverride>
  </w:num>
  <w:num w:numId="21">
    <w:abstractNumId w:val="23"/>
  </w:num>
  <w:num w:numId="22">
    <w:abstractNumId w:val="16"/>
  </w:num>
  <w:num w:numId="23">
    <w:abstractNumId w:val="37"/>
  </w:num>
  <w:num w:numId="24">
    <w:abstractNumId w:val="14"/>
  </w:num>
  <w:num w:numId="25">
    <w:abstractNumId w:val="25"/>
    <w:lvlOverride w:ilvl="0">
      <w:startOverride w:val="1"/>
    </w:lvlOverride>
  </w:num>
  <w:num w:numId="26">
    <w:abstractNumId w:val="9"/>
  </w:num>
  <w:num w:numId="27">
    <w:abstractNumId w:val="3"/>
  </w:num>
  <w:num w:numId="28">
    <w:abstractNumId w:val="8"/>
  </w:num>
  <w:num w:numId="29">
    <w:abstractNumId w:val="35"/>
  </w:num>
  <w:num w:numId="30">
    <w:abstractNumId w:val="0"/>
  </w:num>
  <w:num w:numId="31">
    <w:abstractNumId w:val="20"/>
  </w:num>
  <w:num w:numId="32">
    <w:abstractNumId w:val="2"/>
  </w:num>
  <w:num w:numId="33">
    <w:abstractNumId w:val="36"/>
  </w:num>
  <w:num w:numId="34">
    <w:abstractNumId w:val="40"/>
  </w:num>
  <w:num w:numId="35">
    <w:abstractNumId w:val="32"/>
  </w:num>
  <w:num w:numId="36">
    <w:abstractNumId w:val="27"/>
  </w:num>
  <w:num w:numId="37">
    <w:abstractNumId w:val="18"/>
  </w:num>
  <w:num w:numId="38">
    <w:abstractNumId w:val="12"/>
  </w:num>
  <w:num w:numId="39">
    <w:abstractNumId w:val="28"/>
  </w:num>
  <w:num w:numId="40">
    <w:abstractNumId w:val="21"/>
  </w:num>
  <w:num w:numId="41">
    <w:abstractNumId w:val="15"/>
  </w:num>
  <w:num w:numId="42">
    <w:abstractNumId w:val="22"/>
  </w:num>
  <w:num w:numId="43">
    <w:abstractNumId w:val="7"/>
  </w:num>
  <w:num w:numId="44">
    <w:abstractNumId w:val="30"/>
  </w:num>
  <w:num w:numId="45">
    <w:abstractNumId w:val="19"/>
  </w:num>
  <w:num w:numId="46">
    <w:abstractNumId w:val="29"/>
  </w:num>
  <w:num w:numId="47">
    <w:abstractNumId w:val="17"/>
  </w:num>
  <w:num w:numId="48">
    <w:abstractNumId w:val="1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4DD0776"/>
    <w:rsid w:val="05F3032A"/>
    <w:rsid w:val="074F5D50"/>
    <w:rsid w:val="0AB921CB"/>
    <w:rsid w:val="0D1B4541"/>
    <w:rsid w:val="0F8A306C"/>
    <w:rsid w:val="108E4341"/>
    <w:rsid w:val="164E2038"/>
    <w:rsid w:val="16D44454"/>
    <w:rsid w:val="1B6B7765"/>
    <w:rsid w:val="1BF503B5"/>
    <w:rsid w:val="1C044E05"/>
    <w:rsid w:val="1F27140E"/>
    <w:rsid w:val="1F545A65"/>
    <w:rsid w:val="2CAF5A8B"/>
    <w:rsid w:val="30D43240"/>
    <w:rsid w:val="323E398C"/>
    <w:rsid w:val="3520365B"/>
    <w:rsid w:val="363A0214"/>
    <w:rsid w:val="379B7467"/>
    <w:rsid w:val="40F7419A"/>
    <w:rsid w:val="489D7C40"/>
    <w:rsid w:val="48AD264F"/>
    <w:rsid w:val="50C94E82"/>
    <w:rsid w:val="519F13EF"/>
    <w:rsid w:val="5584067B"/>
    <w:rsid w:val="57DC5DAB"/>
    <w:rsid w:val="598D7AFC"/>
    <w:rsid w:val="5E230A6E"/>
    <w:rsid w:val="60381FF9"/>
    <w:rsid w:val="61B04612"/>
    <w:rsid w:val="6606795A"/>
    <w:rsid w:val="68BD320A"/>
    <w:rsid w:val="6A755DF1"/>
    <w:rsid w:val="6F1414DB"/>
    <w:rsid w:val="736F2C54"/>
    <w:rsid w:val="771A4EF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110</TotalTime>
  <ScaleCrop>false</ScaleCrop>
  <LinksUpToDate>false</LinksUpToDate>
  <CharactersWithSpaces>75189</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2023-07-17T14:54:00Z</cp:lastPrinted>
  <dcterms:modified xsi:type="dcterms:W3CDTF">2023-07-25T14:36:30Z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82C3D05FB9E044D7AD79491A32E5EACD</vt:lpwstr>
  </property>
  <property fmtid="{D5CDD505-2E9C-101B-9397-08002B2CF9AE}" pid="3" name="KSOProductBuildVer">
    <vt:lpwstr>1046-11.2.0.11537</vt:lpwstr>
  </property>
</Properties>
</file>