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u w:val="single"/>
        </w:rPr>
      </w:pPr>
      <w:r>
        <w:rPr>
          <w:rFonts w:hint="default"/>
          <w:b/>
          <w:bCs/>
          <w:color w:val="000000"/>
          <w:sz w:val="22"/>
          <w:szCs w:val="22"/>
          <w:u w:val="single"/>
          <w:lang w:val="pt-BR"/>
        </w:rPr>
        <w:t xml:space="preserve">3º </w:t>
      </w:r>
      <w:r>
        <w:rPr>
          <w:b/>
          <w:bCs/>
          <w:color w:val="000000"/>
          <w:sz w:val="22"/>
          <w:szCs w:val="22"/>
          <w:u w:val="single"/>
        </w:rPr>
        <w:t xml:space="preserve">EDITAL </w:t>
      </w:r>
    </w:p>
    <w:p>
      <w:pPr>
        <w:rPr>
          <w:b/>
          <w:bCs/>
          <w:color w:val="000000"/>
          <w:sz w:val="22"/>
          <w:szCs w:val="22"/>
        </w:rPr>
      </w:pPr>
    </w:p>
    <w:p>
      <w:pPr>
        <w:pStyle w:val="171"/>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22</w:t>
      </w:r>
      <w:r>
        <w:rPr>
          <w:rFonts w:ascii="Times New Roman" w:hAnsi="Times New Roman" w:cs="Times New Roman"/>
          <w:sz w:val="22"/>
          <w:szCs w:val="22"/>
          <w:highlight w:val="none"/>
        </w:rPr>
        <w:t>6/2023</w:t>
      </w:r>
    </w:p>
    <w:p>
      <w:pPr>
        <w:jc w:val="center"/>
      </w:pPr>
      <w:r>
        <w:rPr>
          <w:b/>
          <w:bCs/>
          <w:sz w:val="22"/>
          <w:szCs w:val="22"/>
        </w:rPr>
        <w:t xml:space="preserve">PREGÃO PRESENCIAL N°. </w:t>
      </w:r>
      <w:r>
        <w:rPr>
          <w:rFonts w:hint="default"/>
          <w:b/>
          <w:bCs/>
          <w:sz w:val="22"/>
          <w:szCs w:val="22"/>
          <w:lang w:val="pt-BR"/>
        </w:rPr>
        <w:t>0</w:t>
      </w:r>
      <w:r>
        <w:rPr>
          <w:b/>
          <w:bCs/>
          <w:sz w:val="22"/>
          <w:szCs w:val="22"/>
        </w:rPr>
        <w:t>89/2023</w:t>
      </w:r>
    </w:p>
    <w:p>
      <w:pPr>
        <w:rPr>
          <w:b/>
          <w:bCs/>
          <w:sz w:val="22"/>
          <w:szCs w:val="22"/>
        </w:rPr>
      </w:pPr>
    </w:p>
    <w:p>
      <w:pPr>
        <w:rPr>
          <w:b/>
          <w:sz w:val="22"/>
          <w:szCs w:val="22"/>
        </w:rPr>
      </w:pPr>
      <w:r>
        <w:rPr>
          <w:b/>
          <w:sz w:val="22"/>
          <w:szCs w:val="22"/>
        </w:rPr>
        <w:t>1 - PREÂMBULO:</w:t>
      </w:r>
    </w:p>
    <w:p>
      <w:pPr>
        <w:rPr>
          <w:b/>
          <w:sz w:val="22"/>
          <w:szCs w:val="22"/>
        </w:rPr>
      </w:pPr>
    </w:p>
    <w:p>
      <w:pPr>
        <w:pStyle w:val="15"/>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w:t>
      </w:r>
      <w:r>
        <w:rPr>
          <w:rFonts w:hint="default" w:ascii="Times New Roman" w:hAnsi="Times New Roman" w:cs="Times New Roman"/>
          <w:szCs w:val="22"/>
          <w:lang w:val="pt-BR"/>
        </w:rPr>
        <w:t>Avenida Weimar Gonçalves Torres, 862 - Centro</w:t>
      </w:r>
      <w:r>
        <w:rPr>
          <w:rFonts w:ascii="Times New Roman" w:hAnsi="Times New Roman" w:cs="Times New Roman"/>
          <w:szCs w:val="22"/>
        </w:rPr>
        <w:t>, através d</w:t>
      </w:r>
      <w:r>
        <w:rPr>
          <w:rFonts w:hint="default" w:ascii="Times New Roman" w:hAnsi="Times New Roman" w:cs="Times New Roman"/>
          <w:szCs w:val="22"/>
          <w:lang w:val="pt-BR"/>
        </w:rPr>
        <w:t>a</w:t>
      </w:r>
      <w:r>
        <w:rPr>
          <w:rFonts w:ascii="Times New Roman" w:hAnsi="Times New Roman" w:cs="Times New Roman"/>
          <w:szCs w:val="22"/>
        </w:rPr>
        <w:t xml:space="preserve"> Sr</w:t>
      </w:r>
      <w:r>
        <w:rPr>
          <w:rFonts w:hint="default" w:ascii="Times New Roman" w:hAnsi="Times New Roman" w:cs="Times New Roman"/>
          <w:szCs w:val="22"/>
          <w:lang w:val="pt-BR"/>
        </w:rPr>
        <w:t>a</w:t>
      </w:r>
      <w:r>
        <w:rPr>
          <w:rFonts w:ascii="Times New Roman" w:hAnsi="Times New Roman" w:cs="Times New Roman"/>
          <w:szCs w:val="22"/>
        </w:rPr>
        <w:t xml:space="preserve">. </w:t>
      </w:r>
      <w:r>
        <w:rPr>
          <w:rFonts w:hint="default" w:ascii="Times New Roman" w:hAnsi="Times New Roman"/>
          <w:szCs w:val="22"/>
        </w:rPr>
        <w:t xml:space="preserve">Elayne de Oliveira Cunha Pimenta, Gerente de Finanças </w:t>
      </w:r>
      <w:r>
        <w:rPr>
          <w:rFonts w:hint="default" w:ascii="Times New Roman" w:hAnsi="Times New Roman"/>
          <w:szCs w:val="22"/>
          <w:lang w:val="pt-BR"/>
        </w:rPr>
        <w:t>Decreto</w:t>
      </w:r>
      <w:r>
        <w:rPr>
          <w:rFonts w:hint="default" w:ascii="Times New Roman" w:hAnsi="Times New Roman"/>
          <w:szCs w:val="22"/>
        </w:rPr>
        <w:t xml:space="preserve"> nº </w:t>
      </w:r>
      <w:r>
        <w:rPr>
          <w:rFonts w:hint="default" w:ascii="Times New Roman" w:hAnsi="Times New Roman"/>
          <w:szCs w:val="22"/>
          <w:lang w:val="pt-BR"/>
        </w:rPr>
        <w:t>115</w:t>
      </w:r>
      <w:r>
        <w:rPr>
          <w:rFonts w:hint="default" w:ascii="Times New Roman" w:hAnsi="Times New Roman"/>
          <w:szCs w:val="22"/>
        </w:rPr>
        <w:t>/2023</w:t>
      </w:r>
      <w:r>
        <w:rPr>
          <w:rFonts w:ascii="Times New Roman" w:hAnsi="Times New Roman" w:cs="Times New Roman"/>
          <w:szCs w:val="22"/>
        </w:rPr>
        <w:t xml:space="preserve">, torna público que a equipe de Pregoeiras instituída pelas Portarias nº. </w:t>
      </w:r>
      <w:r>
        <w:rPr>
          <w:rFonts w:hint="default" w:ascii="Times New Roman" w:hAnsi="Times New Roman" w:cs="Times New Roman"/>
          <w:szCs w:val="22"/>
          <w:lang w:val="pt-BR"/>
        </w:rPr>
        <w:t>341, 342</w:t>
      </w:r>
      <w:bookmarkStart w:id="0" w:name="_GoBack"/>
      <w:bookmarkEnd w:id="0"/>
      <w:r>
        <w:rPr>
          <w:rFonts w:ascii="Times New Roman" w:hAnsi="Times New Roman" w:cs="Times New Roman"/>
          <w:szCs w:val="22"/>
        </w:rPr>
        <w:t xml:space="preserve"> de 1</w:t>
      </w:r>
      <w:r>
        <w:rPr>
          <w:rFonts w:hint="default" w:ascii="Times New Roman" w:hAnsi="Times New Roman" w:cs="Times New Roman"/>
          <w:szCs w:val="22"/>
          <w:lang w:val="pt-BR"/>
        </w:rPr>
        <w:t>8</w:t>
      </w:r>
      <w:r>
        <w:rPr>
          <w:rFonts w:ascii="Times New Roman" w:hAnsi="Times New Roman" w:cs="Times New Roman"/>
          <w:szCs w:val="22"/>
        </w:rPr>
        <w:t xml:space="preserve"> de julho de 202</w:t>
      </w:r>
      <w:r>
        <w:rPr>
          <w:rFonts w:hint="default" w:ascii="Times New Roman" w:hAnsi="Times New Roman" w:cs="Times New Roman"/>
          <w:szCs w:val="22"/>
          <w:lang w:val="pt-BR"/>
        </w:rPr>
        <w:t>3</w:t>
      </w:r>
      <w:r>
        <w:rPr>
          <w:rFonts w:ascii="Times New Roman" w:hAnsi="Times New Roman" w:cs="Times New Roman"/>
          <w:szCs w:val="22"/>
        </w:rPr>
        <w:t xml:space="preserve">,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3"/>
        <w:rPr>
          <w:rFonts w:hint="default"/>
          <w:b/>
          <w:bCs/>
          <w:lang w:val="pt-BR"/>
        </w:rPr>
      </w:pPr>
      <w:r>
        <w:rPr>
          <w:b/>
          <w:bCs/>
          <w:szCs w:val="22"/>
        </w:rPr>
        <w:t>1.2.</w:t>
      </w:r>
      <w:r>
        <w:rPr>
          <w:szCs w:val="22"/>
        </w:rPr>
        <w:t xml:space="preserve"> Recebimento e abertura dos envelopes, propostas e documentação de habilitação, ocorrerão em sessão pública e deverão ser entregues no máximo até à</w:t>
      </w:r>
      <w:r>
        <w:rPr>
          <w:szCs w:val="22"/>
          <w:highlight w:val="none"/>
        </w:rPr>
        <w:t xml:space="preserve">s </w:t>
      </w:r>
      <w:r>
        <w:rPr>
          <w:b/>
          <w:bCs/>
          <w:szCs w:val="22"/>
          <w:highlight w:val="none"/>
        </w:rPr>
        <w:t>08:</w:t>
      </w:r>
      <w:r>
        <w:rPr>
          <w:rFonts w:hint="default"/>
          <w:b/>
          <w:bCs/>
          <w:szCs w:val="22"/>
          <w:highlight w:val="none"/>
          <w:lang w:val="pt-BR"/>
        </w:rPr>
        <w:t>00</w:t>
      </w:r>
      <w:r>
        <w:rPr>
          <w:b/>
          <w:bCs/>
          <w:szCs w:val="22"/>
          <w:highlight w:val="none"/>
        </w:rPr>
        <w:t xml:space="preserve"> horas do dia </w:t>
      </w:r>
      <w:r>
        <w:rPr>
          <w:rFonts w:hint="default"/>
          <w:b/>
          <w:bCs/>
          <w:szCs w:val="22"/>
          <w:highlight w:val="none"/>
          <w:lang w:val="pt-BR"/>
        </w:rPr>
        <w:t>10 de outubro de 2023.</w:t>
      </w:r>
    </w:p>
    <w:p>
      <w:pPr>
        <w:jc w:val="both"/>
        <w:rPr>
          <w:sz w:val="22"/>
          <w:szCs w:val="22"/>
        </w:rPr>
      </w:pPr>
    </w:p>
    <w:p>
      <w:pPr>
        <w:jc w:val="both"/>
        <w:rPr>
          <w:rFonts w:hint="default" w:eastAsia="Times New Roman"/>
          <w:bCs/>
          <w:iCs/>
          <w:color w:val="auto"/>
          <w:sz w:val="22"/>
          <w:szCs w:val="22"/>
          <w:u w:val="none"/>
          <w:lang w:val="en-US" w:eastAsia="pt-BR"/>
        </w:rPr>
      </w:pPr>
      <w:r>
        <w:rPr>
          <w:rFonts w:hint="default" w:eastAsia="Times New Roman"/>
          <w:b/>
          <w:bCs/>
          <w:iCs/>
          <w:sz w:val="22"/>
          <w:szCs w:val="22"/>
          <w:lang w:val="en-US" w:eastAsia="pt-BR"/>
        </w:rPr>
        <w:t>1.</w:t>
      </w:r>
      <w:r>
        <w:rPr>
          <w:rFonts w:hint="default"/>
          <w:b/>
          <w:bCs/>
          <w:iCs/>
          <w:sz w:val="22"/>
          <w:szCs w:val="22"/>
          <w:lang w:val="en-US" w:eastAsia="pt-BR"/>
        </w:rPr>
        <w:t>3</w:t>
      </w:r>
      <w:r>
        <w:rPr>
          <w:rFonts w:hint="default" w:eastAsia="Times New Roman"/>
          <w:iCs/>
          <w:sz w:val="22"/>
          <w:szCs w:val="22"/>
          <w:lang w:val="en-US" w:eastAsia="pt-BR"/>
        </w:rPr>
        <w:t xml:space="preserve"> - Em cumprimento a Lei Municipal n. 2.372/2021,  as sessões públicas de licitação serão gravadas em áudio e vídeo e estarão disponibilizadas no site </w:t>
      </w:r>
      <w:r>
        <w:rPr>
          <w:sz w:val="22"/>
          <w:szCs w:val="22"/>
        </w:rPr>
        <w:fldChar w:fldCharType="begin"/>
      </w:r>
      <w:r>
        <w:rPr>
          <w:sz w:val="22"/>
          <w:szCs w:val="22"/>
        </w:rPr>
        <w:instrText xml:space="preserve"> HYPERLINK "https://www.navirai.ms.gov.br/licitacao" </w:instrText>
      </w:r>
      <w:r>
        <w:rPr>
          <w:sz w:val="22"/>
          <w:szCs w:val="22"/>
        </w:rPr>
        <w:fldChar w:fldCharType="separate"/>
      </w:r>
      <w:r>
        <w:rPr>
          <w:rFonts w:eastAsia="Times New Roman"/>
          <w:bCs/>
          <w:iCs/>
          <w:color w:val="0000FF"/>
          <w:sz w:val="22"/>
          <w:szCs w:val="22"/>
          <w:u w:val="single"/>
          <w:lang w:eastAsia="pt-BR"/>
        </w:rPr>
        <w:t>https://www.navirai.ms.gov.br/licitacao</w:t>
      </w:r>
      <w:r>
        <w:rPr>
          <w:rFonts w:eastAsia="Times New Roman"/>
          <w:bCs/>
          <w:iCs/>
          <w:color w:val="0000FF"/>
          <w:sz w:val="22"/>
          <w:szCs w:val="22"/>
          <w:u w:val="single"/>
          <w:lang w:eastAsia="pt-BR"/>
        </w:rPr>
        <w:fldChar w:fldCharType="end"/>
      </w:r>
      <w:r>
        <w:rPr>
          <w:rFonts w:hint="default" w:eastAsia="Times New Roman"/>
          <w:bCs/>
          <w:iCs/>
          <w:color w:val="0000FF"/>
          <w:sz w:val="22"/>
          <w:szCs w:val="22"/>
          <w:u w:val="none"/>
          <w:lang w:val="en-US" w:eastAsia="pt-BR"/>
        </w:rPr>
        <w:t xml:space="preserve">, </w:t>
      </w:r>
      <w:r>
        <w:rPr>
          <w:rFonts w:hint="default" w:eastAsia="Times New Roman"/>
          <w:bCs/>
          <w:iCs/>
          <w:color w:val="auto"/>
          <w:sz w:val="22"/>
          <w:szCs w:val="22"/>
          <w:u w:val="none"/>
          <w:lang w:val="en-US" w:eastAsia="pt-BR"/>
        </w:rPr>
        <w:t>por um período de 180 (cento e oitenta) dias.</w:t>
      </w:r>
    </w:p>
    <w:p>
      <w:pPr>
        <w:jc w:val="both"/>
        <w:rPr>
          <w:b/>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CONTRATAÇÃO DE EMPRESA ESPECIALIZADA PARA PRESTAÇÃO DE SERVIÇOS TÉCNICOS PARA A REESTRUTURAÇÃO, REVISÃO E ACOMPANHAMENTO DO VALOR ADICIONADO QUE COMPÕE A BASE DE CÁLCULO DA DISTRIBUIÇÃO DO ICMS DO MUNICÍPIO DE NAVIRAÍ-MS. SOLICITAÇÃO DA GERÊNCIA DE FINANÇAS DO MUNICIPIO DE NAVIRAÍ-MS.PEDIDO DE COMPRAS  Nº 253/2023.</w:t>
      </w:r>
    </w:p>
    <w:p>
      <w:pPr>
        <w:jc w:val="both"/>
        <w:rPr>
          <w:b/>
          <w:sz w:val="22"/>
          <w:szCs w:val="22"/>
        </w:rPr>
      </w:pPr>
    </w:p>
    <w:p>
      <w:pPr>
        <w:pStyle w:val="15"/>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 xml:space="preserve">A abertura da presente licitação dar-se-á em sessão pública, dirigida pelo (a) pregoeiro (a), a ser realizada conforme indicado abaixo, de acordo com a legislação mencionada no preâmbulo deste </w:t>
      </w:r>
      <w:r>
        <w:rPr>
          <w:rFonts w:hint="default"/>
          <w:sz w:val="22"/>
          <w:szCs w:val="22"/>
          <w:lang w:val="pt-BR"/>
        </w:rPr>
        <w:t>E</w:t>
      </w:r>
      <w:r>
        <w:rPr>
          <w:sz w:val="22"/>
          <w:szCs w:val="22"/>
        </w:rPr>
        <w:t>dital.</w:t>
      </w:r>
    </w:p>
    <w:p>
      <w:pPr>
        <w:jc w:val="both"/>
        <w:rPr>
          <w:sz w:val="22"/>
          <w:szCs w:val="22"/>
        </w:rPr>
      </w:pPr>
    </w:p>
    <w:p>
      <w:pPr>
        <w:jc w:val="both"/>
        <w:rPr>
          <w:highlight w:val="none"/>
        </w:rPr>
      </w:pPr>
      <w:r>
        <w:rPr>
          <w:sz w:val="22"/>
          <w:szCs w:val="22"/>
          <w:highlight w:val="none"/>
        </w:rPr>
        <w:t xml:space="preserve">DATA DA ABERTURA: </w:t>
      </w:r>
      <w:r>
        <w:rPr>
          <w:rFonts w:hint="default"/>
          <w:b/>
          <w:bCs/>
          <w:sz w:val="22"/>
          <w:szCs w:val="22"/>
          <w:highlight w:val="none"/>
          <w:lang w:val="pt-BR"/>
        </w:rPr>
        <w:t>10</w:t>
      </w:r>
      <w:r>
        <w:rPr>
          <w:b/>
          <w:bCs/>
          <w:sz w:val="22"/>
          <w:szCs w:val="22"/>
          <w:highlight w:val="none"/>
        </w:rPr>
        <w:t>/</w:t>
      </w:r>
      <w:r>
        <w:rPr>
          <w:rFonts w:hint="default"/>
          <w:b/>
          <w:bCs/>
          <w:sz w:val="22"/>
          <w:szCs w:val="22"/>
          <w:highlight w:val="none"/>
          <w:lang w:val="pt-BR"/>
        </w:rPr>
        <w:t>10</w:t>
      </w:r>
      <w:r>
        <w:rPr>
          <w:b/>
          <w:bCs/>
          <w:sz w:val="22"/>
          <w:szCs w:val="22"/>
          <w:highlight w:val="none"/>
        </w:rPr>
        <w:t>/2</w:t>
      </w:r>
      <w:r>
        <w:rPr>
          <w:rFonts w:hint="default"/>
          <w:b/>
          <w:bCs/>
          <w:sz w:val="22"/>
          <w:szCs w:val="22"/>
          <w:highlight w:val="none"/>
          <w:lang w:val="pt-BR"/>
        </w:rPr>
        <w:t>02</w:t>
      </w:r>
      <w:r>
        <w:rPr>
          <w:b/>
          <w:bCs/>
          <w:sz w:val="22"/>
          <w:szCs w:val="22"/>
          <w:highlight w:val="none"/>
        </w:rPr>
        <w:t>3</w:t>
      </w:r>
    </w:p>
    <w:p>
      <w:pPr>
        <w:jc w:val="both"/>
        <w:rPr>
          <w:highlight w:val="none"/>
        </w:rPr>
      </w:pPr>
      <w:r>
        <w:rPr>
          <w:sz w:val="22"/>
          <w:szCs w:val="22"/>
          <w:highlight w:val="none"/>
        </w:rPr>
        <w:t xml:space="preserve">HORA: </w:t>
      </w:r>
      <w:r>
        <w:rPr>
          <w:b/>
          <w:bCs/>
          <w:sz w:val="22"/>
          <w:szCs w:val="22"/>
          <w:highlight w:val="none"/>
        </w:rPr>
        <w:t>08</w:t>
      </w:r>
      <w:r>
        <w:rPr>
          <w:rFonts w:hint="default"/>
          <w:b/>
          <w:bCs/>
          <w:sz w:val="22"/>
          <w:szCs w:val="22"/>
          <w:highlight w:val="none"/>
          <w:lang w:val="pt-BR"/>
        </w:rPr>
        <w:t>h00min</w:t>
      </w:r>
      <w:r>
        <w:rPr>
          <w:b/>
          <w:bCs/>
          <w:sz w:val="22"/>
          <w:szCs w:val="22"/>
          <w:highlight w:val="none"/>
        </w:rPr>
        <w:t xml:space="preserve"> </w:t>
      </w:r>
    </w:p>
    <w:p>
      <w:pPr>
        <w:jc w:val="both"/>
        <w:rPr>
          <w:sz w:val="22"/>
          <w:szCs w:val="22"/>
        </w:rPr>
      </w:pPr>
      <w:r>
        <w:rPr>
          <w:sz w:val="22"/>
          <w:szCs w:val="22"/>
        </w:rPr>
        <w:t>LOCAL: Prefeitura Municipal de Naviraí - MS</w:t>
      </w:r>
    </w:p>
    <w:p>
      <w:pPr>
        <w:jc w:val="both"/>
        <w:rPr>
          <w:rFonts w:hint="default"/>
          <w:sz w:val="22"/>
          <w:szCs w:val="22"/>
          <w:lang w:val="pt-BR"/>
        </w:rPr>
      </w:pPr>
      <w:r>
        <w:rPr>
          <w:rFonts w:hint="default"/>
          <w:sz w:val="22"/>
          <w:szCs w:val="22"/>
          <w:lang w:val="pt-BR"/>
        </w:rPr>
        <w:t>Avenida Weimar Gonçalves Torres, 862</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79"/>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4"/>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4"/>
        <w:tabs>
          <w:tab w:val="left" w:pos="360"/>
          <w:tab w:val="left" w:pos="1440"/>
        </w:tabs>
        <w:rPr>
          <w:sz w:val="22"/>
          <w:szCs w:val="22"/>
        </w:rPr>
      </w:pPr>
    </w:p>
    <w:p>
      <w:pPr>
        <w:pStyle w:val="14"/>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4"/>
        <w:tabs>
          <w:tab w:val="left" w:pos="360"/>
          <w:tab w:val="left" w:pos="1440"/>
        </w:tabs>
        <w:rPr>
          <w:sz w:val="22"/>
          <w:szCs w:val="22"/>
          <w:lang w:val="pt-BR"/>
        </w:rPr>
      </w:pPr>
    </w:p>
    <w:p>
      <w:pPr>
        <w:pStyle w:val="14"/>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89/</w:t>
      </w:r>
      <w:r>
        <w:rPr>
          <w:rFonts w:ascii="Times New Roman" w:hAnsi="Times New Roman" w:eastAsia="Arial Unicode MS" w:cs="Times New Roman"/>
          <w:color w:val="000000"/>
          <w:szCs w:val="22"/>
        </w:rPr>
        <w:t>2023</w:t>
      </w:r>
    </w:p>
    <w:p>
      <w:pPr>
        <w:jc w:val="both"/>
      </w:pPr>
      <w:r>
        <w:rPr>
          <w:b/>
          <w:sz w:val="22"/>
          <w:szCs w:val="22"/>
        </w:rPr>
        <w:t xml:space="preserve">DATA DE ABERTURA: </w:t>
      </w:r>
      <w:r>
        <w:rPr>
          <w:rFonts w:hint="default"/>
          <w:b/>
          <w:sz w:val="22"/>
          <w:szCs w:val="22"/>
          <w:lang w:val="pt-BR"/>
        </w:rPr>
        <w:t>10</w:t>
      </w:r>
      <w:r>
        <w:rPr>
          <w:b/>
          <w:sz w:val="22"/>
          <w:szCs w:val="22"/>
        </w:rPr>
        <w:t>/</w:t>
      </w:r>
      <w:r>
        <w:rPr>
          <w:rFonts w:hint="default"/>
          <w:b/>
          <w:sz w:val="22"/>
          <w:szCs w:val="22"/>
          <w:lang w:val="pt-BR"/>
        </w:rPr>
        <w:t>10</w:t>
      </w:r>
      <w:r>
        <w:rPr>
          <w:b/>
          <w:sz w:val="22"/>
          <w:szCs w:val="22"/>
        </w:rPr>
        <w:t>/2</w:t>
      </w:r>
      <w:r>
        <w:rPr>
          <w:rFonts w:hint="default"/>
          <w:b/>
          <w:sz w:val="22"/>
          <w:szCs w:val="22"/>
          <w:lang w:val="pt-BR"/>
        </w:rPr>
        <w:t>02</w:t>
      </w:r>
      <w:r>
        <w:rPr>
          <w:b/>
          <w:sz w:val="22"/>
          <w:szCs w:val="22"/>
        </w:rPr>
        <w:t>3</w:t>
      </w:r>
    </w:p>
    <w:p>
      <w:pPr>
        <w:pStyle w:val="5"/>
        <w:ind w:left="0" w:right="0" w:firstLine="0"/>
      </w:pPr>
      <w:r>
        <w:rPr>
          <w:rFonts w:ascii="Times New Roman" w:hAnsi="Times New Roman" w:cs="Times New Roman"/>
          <w:szCs w:val="22"/>
        </w:rPr>
        <w:t>HORÁRIO: 08</w:t>
      </w:r>
      <w:r>
        <w:rPr>
          <w:rFonts w:hint="default" w:ascii="Times New Roman" w:hAnsi="Times New Roman" w:cs="Times New Roman"/>
          <w:szCs w:val="22"/>
          <w:lang w:val="pt-BR"/>
        </w:rPr>
        <w:t>h0</w:t>
      </w:r>
      <w:r>
        <w:rPr>
          <w:rFonts w:ascii="Times New Roman" w:hAnsi="Times New Roman" w:cs="Times New Roman"/>
          <w:szCs w:val="22"/>
        </w:rPr>
        <w:t>0</w:t>
      </w:r>
      <w:r>
        <w:rPr>
          <w:rFonts w:hint="default" w:ascii="Times New Roman" w:hAnsi="Times New Roman" w:cs="Times New Roman"/>
          <w:szCs w:val="22"/>
          <w:lang w:val="pt-BR"/>
        </w:rPr>
        <w:t>min</w:t>
      </w:r>
      <w:r>
        <w:rPr>
          <w:rFonts w:ascii="Times New Roman" w:hAnsi="Times New Roman" w:cs="Times New Roman"/>
          <w:szCs w:val="22"/>
        </w:rPr>
        <w:t xml:space="preserve"> </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89/</w:t>
      </w:r>
      <w:r>
        <w:rPr>
          <w:rFonts w:ascii="Times New Roman" w:hAnsi="Times New Roman" w:eastAsia="Arial Unicode MS" w:cs="Times New Roman"/>
          <w:szCs w:val="22"/>
        </w:rPr>
        <w:t>2023</w:t>
      </w:r>
    </w:p>
    <w:p>
      <w:pPr>
        <w:tabs>
          <w:tab w:val="left" w:pos="0"/>
          <w:tab w:val="left" w:pos="2268"/>
          <w:tab w:val="left" w:pos="2552"/>
          <w:tab w:val="left" w:pos="2835"/>
        </w:tabs>
        <w:jc w:val="both"/>
      </w:pPr>
      <w:r>
        <w:rPr>
          <w:b/>
          <w:sz w:val="22"/>
          <w:szCs w:val="22"/>
        </w:rPr>
        <w:t xml:space="preserve">DATA DE ABERTURA: </w:t>
      </w:r>
      <w:r>
        <w:rPr>
          <w:rFonts w:hint="default"/>
          <w:b/>
          <w:sz w:val="22"/>
          <w:szCs w:val="22"/>
          <w:lang w:val="pt-BR"/>
        </w:rPr>
        <w:t>10</w:t>
      </w:r>
      <w:r>
        <w:rPr>
          <w:b/>
          <w:sz w:val="22"/>
          <w:szCs w:val="22"/>
        </w:rPr>
        <w:t>/</w:t>
      </w:r>
      <w:r>
        <w:rPr>
          <w:rFonts w:hint="default"/>
          <w:b/>
          <w:sz w:val="22"/>
          <w:szCs w:val="22"/>
          <w:lang w:val="pt-BR"/>
        </w:rPr>
        <w:t>10</w:t>
      </w:r>
      <w:r>
        <w:rPr>
          <w:b/>
          <w:sz w:val="22"/>
          <w:szCs w:val="22"/>
        </w:rPr>
        <w:t>/2</w:t>
      </w:r>
      <w:r>
        <w:rPr>
          <w:rFonts w:hint="default"/>
          <w:b/>
          <w:sz w:val="22"/>
          <w:szCs w:val="22"/>
          <w:lang w:val="pt-BR"/>
        </w:rPr>
        <w:t>02</w:t>
      </w:r>
      <w:r>
        <w:rPr>
          <w:b/>
          <w:sz w:val="22"/>
          <w:szCs w:val="22"/>
        </w:rPr>
        <w:t>3</w:t>
      </w:r>
    </w:p>
    <w:p>
      <w:pPr>
        <w:tabs>
          <w:tab w:val="left" w:pos="2835"/>
        </w:tabs>
        <w:jc w:val="both"/>
      </w:pPr>
      <w:r>
        <w:rPr>
          <w:b/>
          <w:sz w:val="22"/>
          <w:szCs w:val="22"/>
        </w:rPr>
        <w:t>HORÁRIO: 08</w:t>
      </w:r>
      <w:r>
        <w:rPr>
          <w:rFonts w:hint="default"/>
          <w:b/>
          <w:sz w:val="22"/>
          <w:szCs w:val="22"/>
          <w:lang w:val="pt-BR"/>
        </w:rPr>
        <w:t>h00min</w:t>
      </w:r>
      <w:r>
        <w:rPr>
          <w:b/>
          <w:sz w:val="22"/>
          <w:szCs w:val="22"/>
        </w:rPr>
        <w:t xml:space="preserve"> </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 xml:space="preserve">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w:t>
      </w:r>
      <w:r>
        <w:rPr>
          <w:rFonts w:hint="default"/>
          <w:sz w:val="22"/>
          <w:szCs w:val="22"/>
          <w:lang w:val="pt-BR"/>
        </w:rPr>
        <w:t>Avenida Weimar Gonçalves Torres, 862</w:t>
      </w:r>
      <w:r>
        <w:rPr>
          <w:sz w:val="22"/>
          <w:szCs w:val="22"/>
        </w:rPr>
        <w:t xml:space="preserve"> - Centro, no horário das 07h:00min as 1</w:t>
      </w:r>
      <w:r>
        <w:rPr>
          <w:rFonts w:hint="default"/>
          <w:sz w:val="22"/>
          <w:szCs w:val="22"/>
          <w:lang w:val="pt-BR"/>
        </w:rPr>
        <w:t>3</w:t>
      </w:r>
      <w:r>
        <w:rPr>
          <w:sz w:val="22"/>
          <w:szCs w:val="22"/>
        </w:rPr>
        <w:t>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6"/>
        <w:ind w:left="0" w:right="0" w:firstLine="0"/>
      </w:pPr>
      <w:r>
        <w:rPr>
          <w:b/>
          <w:sz w:val="22"/>
        </w:rPr>
        <w:t>7.11</w:t>
      </w:r>
      <w:r>
        <w:rPr>
          <w:sz w:val="22"/>
        </w:rPr>
        <w:t xml:space="preserve"> - As propostas que eventualmente apresentarem erro de digitação de valores unitários, não serão desclassificada.</w:t>
      </w:r>
    </w:p>
    <w:p>
      <w:pPr>
        <w:pStyle w:val="176"/>
        <w:rPr>
          <w:sz w:val="22"/>
          <w:szCs w:val="22"/>
        </w:rPr>
      </w:pPr>
    </w:p>
    <w:p>
      <w:pPr>
        <w:pStyle w:val="176"/>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6"/>
        <w:tabs>
          <w:tab w:val="left" w:pos="0"/>
        </w:tabs>
        <w:overflowPunct w:val="0"/>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R$ 54.325,00 ( cinquenta e quatro mil trezentos e vinte e cinco reais</w:t>
      </w:r>
      <w:r>
        <w:rPr>
          <w:rFonts w:hint="default"/>
          <w:b/>
          <w:bCs/>
          <w:iCs/>
          <w:sz w:val="22"/>
          <w:szCs w:val="22"/>
          <w:lang w:val="pt-BR"/>
        </w:rPr>
        <w:t xml:space="preserve"> </w:t>
      </w:r>
      <w:r>
        <w:rPr>
          <w:b/>
          <w:bCs/>
          <w:iCs/>
          <w:sz w:val="22"/>
          <w:szCs w:val="22"/>
        </w:rPr>
        <w:t>)</w:t>
      </w:r>
    </w:p>
    <w:p>
      <w:pPr>
        <w:pStyle w:val="176"/>
        <w:tabs>
          <w:tab w:val="left" w:pos="709"/>
        </w:tabs>
        <w:ind w:left="0" w:right="0" w:firstLine="0"/>
        <w:jc w:val="both"/>
        <w:rPr>
          <w:iCs/>
          <w:sz w:val="22"/>
          <w:szCs w:val="22"/>
        </w:rPr>
      </w:pPr>
    </w:p>
    <w:p>
      <w:pPr>
        <w:shd w:val="clear" w:fill="D9D9D9"/>
        <w:tabs>
          <w:tab w:val="left" w:pos="709"/>
        </w:tabs>
        <w:overflowPunct w:val="0"/>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val="0"/>
        <w:spacing w:before="100" w:after="100"/>
        <w:contextualSpacing/>
        <w:jc w:val="both"/>
        <w:textAlignment w:val="auto"/>
        <w:rPr>
          <w:sz w:val="22"/>
          <w:szCs w:val="22"/>
          <w:lang w:eastAsia="pt-BR"/>
        </w:rPr>
      </w:pPr>
    </w:p>
    <w:p>
      <w:pPr>
        <w:tabs>
          <w:tab w:val="left" w:pos="709"/>
        </w:tabs>
        <w:overflowPunct w:val="0"/>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13h:00min</w:t>
      </w:r>
      <w:r>
        <w:rPr>
          <w:rFonts w:hint="default"/>
          <w:sz w:val="22"/>
          <w:szCs w:val="22"/>
          <w:lang w:val="en-US" w:eastAsia="pt-BR"/>
        </w:rPr>
        <w:t xml:space="preserve"> </w:t>
      </w:r>
      <w:r>
        <w:rPr>
          <w:sz w:val="22"/>
          <w:szCs w:val="22"/>
          <w:lang w:eastAsia="pt-BR"/>
        </w:rPr>
        <w:t>(horário local), munido de Requerimento, solicitando Vistas ao Processo.</w:t>
      </w:r>
    </w:p>
    <w:p>
      <w:pPr>
        <w:tabs>
          <w:tab w:val="left" w:pos="709"/>
        </w:tabs>
        <w:overflowPunct w:val="0"/>
        <w:spacing w:before="0" w:after="0"/>
        <w:contextualSpacing/>
        <w:jc w:val="both"/>
        <w:textAlignment w:val="auto"/>
        <w:rPr>
          <w:sz w:val="22"/>
          <w:szCs w:val="22"/>
          <w:lang w:eastAsia="pt-BR"/>
        </w:rPr>
      </w:pPr>
    </w:p>
    <w:p>
      <w:pPr>
        <w:tabs>
          <w:tab w:val="left" w:pos="709"/>
        </w:tabs>
        <w:overflowPunct w:val="0"/>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val="0"/>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 xml:space="preserve">Prova de inscrição do Cadastro Nacional de Pessoa Jurídica </w:t>
      </w:r>
      <w:r>
        <w:rPr>
          <w:b/>
          <w:bCs/>
          <w:sz w:val="22"/>
          <w:szCs w:val="22"/>
        </w:rPr>
        <w:t>(CNPJ)</w:t>
      </w:r>
      <w:r>
        <w:rPr>
          <w:sz w:val="22"/>
          <w:szCs w:val="22"/>
        </w:rPr>
        <w:t>,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w:t>
      </w:r>
      <w:r>
        <w:rPr>
          <w:b/>
          <w:bCs/>
          <w:sz w:val="22"/>
          <w:szCs w:val="22"/>
        </w:rPr>
        <w:t xml:space="preserve">Fazenda Federal </w:t>
      </w:r>
      <w:r>
        <w:rPr>
          <w:sz w:val="22"/>
          <w:szCs w:val="22"/>
        </w:rPr>
        <w:t>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jc w:val="both"/>
      </w:pPr>
      <w:r>
        <w:rPr>
          <w:b/>
          <w:bCs/>
          <w:sz w:val="22"/>
          <w:szCs w:val="22"/>
        </w:rPr>
        <w:t>8.2.</w:t>
      </w:r>
      <w:r>
        <w:rPr>
          <w:rFonts w:hint="default"/>
          <w:b/>
          <w:bCs/>
          <w:sz w:val="22"/>
          <w:szCs w:val="22"/>
          <w:lang w:val="pt-BR"/>
        </w:rPr>
        <w:t>3</w:t>
      </w:r>
      <w:r>
        <w:rPr>
          <w:b/>
          <w:bCs/>
          <w:sz w:val="24"/>
          <w:szCs w:val="24"/>
        </w:rPr>
        <w:t xml:space="preserve"> </w:t>
      </w:r>
      <w:r>
        <w:rPr>
          <w:sz w:val="24"/>
          <w:szCs w:val="24"/>
        </w:rPr>
        <w:t xml:space="preserve">Prova de regularidade para com a </w:t>
      </w:r>
      <w:r>
        <w:rPr>
          <w:b/>
          <w:bCs/>
          <w:sz w:val="24"/>
          <w:szCs w:val="24"/>
        </w:rPr>
        <w:t>Fazenda Municipal</w:t>
      </w:r>
      <w:r>
        <w:rPr>
          <w:sz w:val="24"/>
          <w:szCs w:val="24"/>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ind w:left="0" w:right="-142" w:firstLine="0"/>
        <w:jc w:val="both"/>
        <w:rPr>
          <w:sz w:val="22"/>
          <w:szCs w:val="22"/>
        </w:rPr>
      </w:pPr>
    </w:p>
    <w:p>
      <w:pPr>
        <w:jc w:val="both"/>
      </w:pPr>
      <w:r>
        <w:rPr>
          <w:b/>
          <w:bCs/>
          <w:sz w:val="22"/>
          <w:szCs w:val="22"/>
        </w:rPr>
        <w:t>8.2.</w:t>
      </w:r>
      <w:r>
        <w:rPr>
          <w:rFonts w:hint="default"/>
          <w:b/>
          <w:bCs/>
          <w:sz w:val="22"/>
          <w:szCs w:val="22"/>
          <w:lang w:val="pt-BR"/>
        </w:rPr>
        <w:t>4</w:t>
      </w:r>
      <w:r>
        <w:rPr>
          <w:b/>
          <w:bCs/>
          <w:sz w:val="22"/>
          <w:szCs w:val="22"/>
        </w:rPr>
        <w:t xml:space="preserve"> </w:t>
      </w:r>
      <w:r>
        <w:rPr>
          <w:bCs/>
          <w:sz w:val="22"/>
          <w:szCs w:val="22"/>
        </w:rPr>
        <w:t xml:space="preserve">Certificado de Regularidade do </w:t>
      </w:r>
      <w:r>
        <w:rPr>
          <w:b/>
          <w:bCs w:val="0"/>
          <w:sz w:val="22"/>
          <w:szCs w:val="22"/>
        </w:rPr>
        <w:t>FGTS (CRF)</w:t>
      </w:r>
      <w:r>
        <w:rPr>
          <w:bCs/>
          <w:sz w:val="22"/>
          <w:szCs w:val="22"/>
        </w:rPr>
        <w:t>,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w:t>
      </w:r>
      <w:r>
        <w:rPr>
          <w:rFonts w:hint="default"/>
          <w:b/>
          <w:bCs/>
          <w:sz w:val="22"/>
          <w:szCs w:val="22"/>
          <w:lang w:val="pt-BR"/>
        </w:rPr>
        <w:t>5</w:t>
      </w:r>
      <w:r>
        <w:rPr>
          <w:sz w:val="22"/>
          <w:szCs w:val="22"/>
        </w:rPr>
        <w:t xml:space="preserve"> Prova de inexistência de débitos inadimplidos perante a </w:t>
      </w:r>
      <w:r>
        <w:rPr>
          <w:b/>
          <w:bCs/>
          <w:sz w:val="22"/>
          <w:szCs w:val="22"/>
        </w:rPr>
        <w:t>Justiça do Trabalho</w:t>
      </w:r>
      <w:r>
        <w:rPr>
          <w:sz w:val="22"/>
          <w:szCs w:val="22"/>
        </w:rPr>
        <w:t>,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rPr>
          <w:sz w:val="22"/>
        </w:rPr>
      </w:pPr>
      <w:r>
        <w:rPr>
          <w:b/>
          <w:bCs/>
          <w:sz w:val="22"/>
        </w:rPr>
        <w:t>8.2.</w:t>
      </w:r>
      <w:r>
        <w:rPr>
          <w:rFonts w:hint="default"/>
          <w:b/>
          <w:bCs/>
          <w:sz w:val="22"/>
          <w:lang w:val="pt-BR"/>
        </w:rPr>
        <w:t>6</w:t>
      </w:r>
      <w:r>
        <w:rPr>
          <w:sz w:val="22"/>
        </w:rPr>
        <w:t xml:space="preserve"> Certidão negativa de </w:t>
      </w:r>
      <w:r>
        <w:rPr>
          <w:b/>
          <w:bCs/>
          <w:sz w:val="22"/>
        </w:rPr>
        <w:t>falência ou concordata</w:t>
      </w:r>
      <w:r>
        <w:rPr>
          <w:sz w:val="22"/>
        </w:rPr>
        <w:t>,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sz w:val="22"/>
        </w:rPr>
      </w:pPr>
    </w:p>
    <w:p>
      <w:pPr>
        <w:ind w:left="0" w:right="-142" w:firstLine="0"/>
        <w:jc w:val="both"/>
        <w:rPr>
          <w:b/>
          <w:bCs/>
          <w:sz w:val="22"/>
        </w:rPr>
      </w:pPr>
      <w:r>
        <w:rPr>
          <w:rFonts w:hint="default"/>
          <w:b/>
          <w:bCs/>
          <w:sz w:val="22"/>
        </w:rPr>
        <w:t>8.2.</w:t>
      </w:r>
      <w:r>
        <w:rPr>
          <w:rFonts w:hint="default"/>
          <w:b/>
          <w:bCs/>
          <w:sz w:val="22"/>
          <w:lang w:val="pt-BR"/>
        </w:rPr>
        <w:t>7</w:t>
      </w:r>
      <w:r>
        <w:rPr>
          <w:rFonts w:hint="default"/>
          <w:b/>
          <w:bCs/>
          <w:sz w:val="22"/>
        </w:rPr>
        <w:t xml:space="preserve"> Atestado (s) de capacidade técnica operacional fornecido (s) por pessoa jurídica de direito público, demonstrando a licitante ter prestado serviços de atividade pertinente com o objeto desta licitação;</w:t>
      </w:r>
    </w:p>
    <w:p>
      <w:pPr>
        <w:ind w:left="0" w:right="-142" w:firstLine="0"/>
        <w:jc w:val="both"/>
        <w:rPr>
          <w:color w:val="FF0000"/>
          <w:sz w:val="22"/>
          <w:szCs w:val="22"/>
        </w:rPr>
      </w:pPr>
    </w:p>
    <w:p>
      <w:pPr>
        <w:ind w:left="0" w:right="-142" w:firstLine="0"/>
        <w:jc w:val="both"/>
      </w:pPr>
      <w:r>
        <w:rPr>
          <w:b/>
          <w:bCs/>
          <w:sz w:val="22"/>
          <w:szCs w:val="22"/>
        </w:rPr>
        <w:t>8.2.8</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8.2.9</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8.2.10</w:t>
      </w:r>
      <w:r>
        <w:rPr>
          <w:sz w:val="22"/>
          <w:szCs w:val="22"/>
        </w:rPr>
        <w:t xml:space="preserve"> Declaração de conhecimento e aceitação do teor do edital, conforme modelo constante no </w:t>
      </w:r>
      <w:r>
        <w:rPr>
          <w:color w:val="000000"/>
          <w:sz w:val="22"/>
          <w:szCs w:val="22"/>
          <w:highlight w:val="yellow"/>
        </w:rPr>
        <w:t>ANEXO IX</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4"/>
        <w:rPr>
          <w:b/>
          <w:bCs/>
          <w:sz w:val="22"/>
          <w:szCs w:val="22"/>
          <w:lang w:val="pt-BR"/>
        </w:rPr>
      </w:pPr>
    </w:p>
    <w:p>
      <w:pPr>
        <w:pStyle w:val="14"/>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4"/>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4"/>
        <w:rPr>
          <w:b/>
          <w:bCs/>
          <w:sz w:val="22"/>
          <w:szCs w:val="22"/>
        </w:rPr>
      </w:pPr>
      <w:r>
        <w:rPr>
          <w:b/>
          <w:bCs/>
          <w:sz w:val="22"/>
          <w:szCs w:val="22"/>
        </w:rPr>
        <w:t>9.3 DO TRATAMENTO DIFERENCIADO E FAVORECIDO ÀS MICRO EMPRESAS E EMPRESAS DE PEQUENO PORTE SEGUNDO A LEI COMPLEMENTAR 123/06</w:t>
      </w:r>
    </w:p>
    <w:p>
      <w:pPr>
        <w:pStyle w:val="14"/>
        <w:rPr>
          <w:b/>
          <w:bCs/>
          <w:sz w:val="22"/>
          <w:szCs w:val="22"/>
        </w:rPr>
      </w:pPr>
    </w:p>
    <w:p>
      <w:pPr>
        <w:pStyle w:val="14"/>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4"/>
        <w:rPr>
          <w:sz w:val="22"/>
          <w:szCs w:val="22"/>
        </w:rPr>
      </w:pPr>
    </w:p>
    <w:p>
      <w:pPr>
        <w:numPr>
          <w:ilvl w:val="0"/>
          <w:numId w:val="5"/>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5"/>
        <w:ind w:left="426" w:right="0" w:hanging="285"/>
        <w:rPr>
          <w:iCs/>
          <w:sz w:val="22"/>
          <w:szCs w:val="22"/>
        </w:rPr>
      </w:pPr>
    </w:p>
    <w:p>
      <w:pPr>
        <w:numPr>
          <w:ilvl w:val="0"/>
          <w:numId w:val="5"/>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w:t>
      </w:r>
      <w:r>
        <w:rPr>
          <w:rFonts w:hint="default"/>
          <w:sz w:val="22"/>
          <w:szCs w:val="22"/>
        </w:rPr>
        <w:t>Avenida Weimar Gonçalves Torres, 862,</w:t>
      </w:r>
      <w:r>
        <w:rPr>
          <w:sz w:val="22"/>
          <w:szCs w:val="22"/>
        </w:rPr>
        <w:t xml:space="preserve"> CEP 79950-000 Naviraí-MS, </w:t>
      </w:r>
      <w:r>
        <w:rPr>
          <w:sz w:val="22"/>
          <w:szCs w:val="22"/>
          <w:lang w:eastAsia="pt-BR"/>
        </w:rPr>
        <w:t>no horário das 7h as 13h</w:t>
      </w:r>
      <w:r>
        <w:rPr>
          <w:rFonts w:hint="default"/>
          <w:sz w:val="22"/>
          <w:szCs w:val="22"/>
          <w:lang w:val="en-US" w:eastAsia="pt-BR"/>
        </w:rPr>
        <w:t xml:space="preserve"> </w:t>
      </w:r>
      <w:r>
        <w:rPr>
          <w:sz w:val="22"/>
          <w:szCs w:val="22"/>
          <w:lang w:eastAsia="pt-BR"/>
        </w:rPr>
        <w:t>(horário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4"/>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w:t>
      </w:r>
      <w:r>
        <w:rPr>
          <w:rFonts w:hint="default"/>
          <w:b/>
          <w:bCs/>
          <w:sz w:val="22"/>
          <w:szCs w:val="22"/>
          <w:lang w:val="pt-BR"/>
        </w:rPr>
        <w:t>3</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w:t>
      </w:r>
      <w:r>
        <w:rPr>
          <w:rFonts w:hint="default"/>
          <w:b/>
          <w:bCs/>
          <w:sz w:val="22"/>
          <w:szCs w:val="22"/>
          <w:lang w:val="pt-BR"/>
        </w:rPr>
        <w:t>4</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11.</w:t>
      </w:r>
      <w:r>
        <w:rPr>
          <w:rFonts w:hint="default"/>
          <w:b/>
          <w:bCs/>
          <w:sz w:val="22"/>
          <w:szCs w:val="22"/>
          <w:lang w:val="pt-BR"/>
        </w:rPr>
        <w:t>5</w:t>
      </w:r>
      <w:r>
        <w:rPr>
          <w:b/>
          <w:bCs/>
          <w:sz w:val="22"/>
          <w:szCs w:val="22"/>
        </w:rPr>
        <w:t xml:space="preserve">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11.</w:t>
      </w:r>
      <w:r>
        <w:rPr>
          <w:rFonts w:hint="default"/>
          <w:b/>
          <w:bCs/>
          <w:sz w:val="22"/>
          <w:szCs w:val="22"/>
          <w:lang w:val="pt-BR"/>
        </w:rPr>
        <w:t>6</w:t>
      </w:r>
      <w:r>
        <w:rPr>
          <w:b/>
          <w:bCs/>
          <w:sz w:val="22"/>
          <w:szCs w:val="22"/>
        </w:rPr>
        <w:t xml:space="preserve">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GERENCIA DE FINANÇAS</w:t>
            </w:r>
          </w:p>
        </w:tc>
      </w:tr>
    </w:tbl>
    <w:p>
      <w:pPr>
        <w:spacing w:line="20" w:lineRule="exact"/>
        <w:rPr>
          <w:sz w:val="22"/>
          <w:szCs w:val="22"/>
          <w:lang w:eastAsia="pt-BR"/>
        </w:rPr>
      </w:pP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GERENCIA DE FINANÇAS</w:t>
            </w:r>
          </w:p>
        </w:tc>
      </w:tr>
    </w:tbl>
    <w:p>
      <w:pPr>
        <w:rPr>
          <w:b/>
          <w:sz w:val="10"/>
          <w:szCs w:val="10"/>
          <w:lang w:eastAsia="pt-BR"/>
        </w:rPr>
      </w:pPr>
    </w:p>
    <w:tbl>
      <w:tblPr>
        <w:tblStyle w:val="12"/>
        <w:tblW w:w="9865" w:type="dxa"/>
        <w:tblInd w:w="-5" w:type="dxa"/>
        <w:tblLayout w:type="fixed"/>
        <w:tblCellMar>
          <w:top w:w="0" w:type="dxa"/>
          <w:left w:w="70" w:type="dxa"/>
          <w:bottom w:w="0" w:type="dxa"/>
          <w:right w:w="70" w:type="dxa"/>
        </w:tblCellMar>
      </w:tblPr>
      <w:tblGrid>
        <w:gridCol w:w="1064"/>
        <w:gridCol w:w="991"/>
        <w:gridCol w:w="993"/>
        <w:gridCol w:w="1133"/>
        <w:gridCol w:w="710"/>
        <w:gridCol w:w="1276"/>
        <w:gridCol w:w="1986"/>
        <w:gridCol w:w="1710"/>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Órgão/Unidade</w:t>
            </w:r>
          </w:p>
        </w:tc>
        <w:tc>
          <w:tcPr>
            <w:tcW w:w="991"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Função</w:t>
            </w:r>
          </w:p>
        </w:tc>
        <w:tc>
          <w:tcPr>
            <w:tcW w:w="99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Sub Função</w:t>
            </w:r>
          </w:p>
        </w:tc>
        <w:tc>
          <w:tcPr>
            <w:tcW w:w="113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Programa</w:t>
            </w:r>
          </w:p>
        </w:tc>
        <w:tc>
          <w:tcPr>
            <w:tcW w:w="710"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Destino</w:t>
            </w:r>
          </w:p>
        </w:tc>
        <w:tc>
          <w:tcPr>
            <w:tcW w:w="127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Projeto/Atividade</w:t>
            </w:r>
          </w:p>
        </w:tc>
        <w:tc>
          <w:tcPr>
            <w:tcW w:w="198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Elemento de Despesa</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widowControl w:val="0"/>
              <w:jc w:val="center"/>
            </w:pPr>
            <w:r>
              <w:rPr>
                <w:b/>
                <w:color w:val="FF0000"/>
                <w:sz w:val="22"/>
                <w:szCs w:val="22"/>
                <w:lang w:eastAsia="pt-BR"/>
              </w:rPr>
              <w:t xml:space="preserve">01 0103 </w:t>
            </w:r>
          </w:p>
        </w:tc>
        <w:tc>
          <w:tcPr>
            <w:tcW w:w="991"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4</w:t>
            </w:r>
          </w:p>
        </w:tc>
        <w:tc>
          <w:tcPr>
            <w:tcW w:w="99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123</w:t>
            </w:r>
          </w:p>
        </w:tc>
        <w:tc>
          <w:tcPr>
            <w:tcW w:w="113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302</w:t>
            </w:r>
          </w:p>
        </w:tc>
        <w:tc>
          <w:tcPr>
            <w:tcW w:w="710"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2</w:t>
            </w:r>
          </w:p>
        </w:tc>
        <w:tc>
          <w:tcPr>
            <w:tcW w:w="127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6</w:t>
            </w:r>
          </w:p>
        </w:tc>
        <w:tc>
          <w:tcPr>
            <w:tcW w:w="198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339039990000</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b/>
                <w:color w:val="FF0000"/>
                <w:sz w:val="22"/>
                <w:szCs w:val="22"/>
                <w:lang w:eastAsia="pt-BR"/>
              </w:rPr>
            </w:pPr>
            <w:r>
              <w:rPr>
                <w:b/>
                <w:color w:val="FF0000"/>
                <w:sz w:val="22"/>
                <w:szCs w:val="22"/>
                <w:lang w:eastAsia="pt-BR"/>
              </w:rPr>
              <w:t>7581</w:t>
            </w:r>
          </w:p>
        </w:tc>
      </w:tr>
    </w:tbl>
    <w:p>
      <w:pPr>
        <w:jc w:val="both"/>
        <w:rPr>
          <w:sz w:val="22"/>
          <w:szCs w:val="22"/>
        </w:rPr>
      </w:pPr>
    </w:p>
    <w:p>
      <w:pPr>
        <w:keepNext/>
        <w:spacing w:after="0" w:line="240" w:lineRule="auto"/>
        <w:jc w:val="both"/>
        <w:outlineLvl w:val="1"/>
        <w:rPr>
          <w:rFonts w:eastAsia="Times New Roman"/>
          <w:b/>
          <w:bCs/>
          <w:sz w:val="22"/>
          <w:lang w:val="zh-CN" w:eastAsia="zh-CN"/>
        </w:rPr>
      </w:pPr>
      <w:r>
        <w:rPr>
          <w:rFonts w:ascii="Times New Roman" w:hAnsi="Times New Roman" w:cs="Times New Roman"/>
          <w:b/>
          <w:bCs/>
          <w:i w:val="0"/>
          <w:color w:val="000000"/>
          <w:sz w:val="22"/>
          <w:szCs w:val="22"/>
        </w:rPr>
        <w:t xml:space="preserve">14 – </w:t>
      </w:r>
      <w:r>
        <w:rPr>
          <w:rFonts w:eastAsia="Times New Roman"/>
          <w:b/>
          <w:bCs/>
          <w:sz w:val="22"/>
          <w:lang w:val="zh-CN" w:eastAsia="zh-CN"/>
        </w:rPr>
        <w:t>D</w:t>
      </w:r>
      <w:r>
        <w:rPr>
          <w:rFonts w:hint="default" w:eastAsia="Times New Roman"/>
          <w:b/>
          <w:bCs/>
          <w:sz w:val="22"/>
          <w:lang w:val="pt-BR" w:eastAsia="zh-CN"/>
        </w:rPr>
        <w:t>A</w:t>
      </w:r>
      <w:r>
        <w:rPr>
          <w:rFonts w:eastAsia="Times New Roman"/>
          <w:b/>
          <w:bCs/>
          <w:sz w:val="22"/>
          <w:lang w:val="zh-CN" w:eastAsia="zh-CN"/>
        </w:rPr>
        <w:t xml:space="preserve"> </w:t>
      </w:r>
      <w:r>
        <w:rPr>
          <w:rFonts w:hint="default" w:eastAsia="Times New Roman"/>
          <w:b/>
          <w:bCs/>
          <w:sz w:val="22"/>
          <w:lang w:val="pt-BR" w:eastAsia="zh-CN"/>
        </w:rPr>
        <w:t>PRESTAÇÃO DE SERVIÇOS</w:t>
      </w:r>
      <w:r>
        <w:rPr>
          <w:rFonts w:eastAsia="Times New Roman"/>
          <w:b/>
          <w:bCs/>
          <w:sz w:val="22"/>
          <w:lang w:val="zh-CN" w:eastAsia="zh-CN"/>
        </w:rPr>
        <w:t>:</w:t>
      </w:r>
    </w:p>
    <w:p>
      <w:pPr>
        <w:keepNext/>
        <w:spacing w:after="0" w:line="240" w:lineRule="auto"/>
        <w:jc w:val="both"/>
        <w:outlineLvl w:val="1"/>
        <w:rPr>
          <w:rFonts w:eastAsia="Times New Roman"/>
          <w:b/>
          <w:bCs/>
          <w:sz w:val="22"/>
          <w:lang w:val="zh-CN" w:eastAsia="zh-CN"/>
        </w:rPr>
      </w:pPr>
    </w:p>
    <w:p>
      <w:pPr>
        <w:jc w:val="both"/>
        <w:rPr>
          <w:sz w:val="22"/>
        </w:rPr>
      </w:pPr>
      <w:r>
        <w:rPr>
          <w:b/>
          <w:bCs/>
          <w:iCs/>
          <w:color w:val="000000"/>
          <w:sz w:val="22"/>
        </w:rPr>
        <w:t>14.1</w:t>
      </w:r>
      <w:r>
        <w:rPr>
          <w:rFonts w:hint="default"/>
          <w:b/>
          <w:bCs/>
          <w:iCs/>
          <w:color w:val="000000"/>
          <w:sz w:val="22"/>
          <w:lang w:val="pt-BR"/>
        </w:rPr>
        <w:t xml:space="preserve"> </w:t>
      </w:r>
      <w:r>
        <w:rPr>
          <w:iCs/>
          <w:color w:val="000000"/>
          <w:sz w:val="22"/>
        </w:rPr>
        <w:t xml:space="preserve">Os serviços serão solicitados conforme a necessidade da gerência, e deverão ser executados </w:t>
      </w:r>
      <w:r>
        <w:rPr>
          <w:rFonts w:hint="default"/>
          <w:iCs/>
          <w:color w:val="000000"/>
          <w:sz w:val="22"/>
          <w:lang w:val="pt-BR"/>
        </w:rPr>
        <w:t xml:space="preserve">de acordo com o termo de referência </w:t>
      </w:r>
      <w:r>
        <w:rPr>
          <w:sz w:val="22"/>
        </w:rPr>
        <w:t>após o recebimento da Ordem de Serviço devidamente assinada.</w:t>
      </w:r>
    </w:p>
    <w:p>
      <w:pPr>
        <w:jc w:val="both"/>
        <w:rPr>
          <w:sz w:val="22"/>
        </w:rPr>
      </w:pPr>
    </w:p>
    <w:p>
      <w:pPr>
        <w:jc w:val="both"/>
        <w:rPr>
          <w:rFonts w:hint="default"/>
          <w:sz w:val="22"/>
          <w:lang w:val="pt-BR"/>
        </w:rPr>
      </w:pPr>
      <w:r>
        <w:rPr>
          <w:rFonts w:hint="default"/>
          <w:b/>
          <w:bCs/>
          <w:sz w:val="22"/>
          <w:lang w:val="pt-BR"/>
        </w:rPr>
        <w:t>14.2</w:t>
      </w:r>
      <w:r>
        <w:rPr>
          <w:rFonts w:hint="default"/>
          <w:sz w:val="22"/>
        </w:rPr>
        <w:t xml:space="preserve"> - O Contratado deverá prestar </w:t>
      </w:r>
      <w:r>
        <w:rPr>
          <w:rFonts w:hint="default"/>
          <w:sz w:val="22"/>
          <w:lang w:val="pt-BR"/>
        </w:rPr>
        <w:t xml:space="preserve">serviços de </w:t>
      </w:r>
      <w:r>
        <w:rPr>
          <w:rFonts w:hint="default"/>
          <w:sz w:val="22"/>
        </w:rPr>
        <w:t xml:space="preserve">assessoria e consultoria </w:t>
      </w:r>
      <w:r>
        <w:rPr>
          <w:rFonts w:hint="default"/>
          <w:sz w:val="22"/>
          <w:lang w:val="pt-BR"/>
        </w:rPr>
        <w:t>de acordo com o termo de referência</w:t>
      </w:r>
      <w:r>
        <w:rPr>
          <w:rFonts w:hint="default"/>
          <w:sz w:val="22"/>
        </w:rPr>
        <w:t>, em conformidade com as normas e legislação vigentes inerentes as questões tributárias do Município</w:t>
      </w:r>
      <w:r>
        <w:rPr>
          <w:rFonts w:hint="default"/>
          <w:sz w:val="22"/>
          <w:lang w:val="pt-BR"/>
        </w:rPr>
        <w:t>.</w:t>
      </w:r>
    </w:p>
    <w:p>
      <w:pPr>
        <w:jc w:val="both"/>
        <w:rPr>
          <w:rFonts w:hint="default"/>
          <w:b/>
          <w:bCs/>
          <w:sz w:val="22"/>
        </w:rPr>
      </w:pPr>
    </w:p>
    <w:p>
      <w:pPr>
        <w:jc w:val="both"/>
        <w:rPr>
          <w:sz w:val="22"/>
        </w:rPr>
      </w:pPr>
      <w:r>
        <w:rPr>
          <w:rFonts w:hint="default"/>
          <w:b/>
          <w:bCs/>
          <w:sz w:val="22"/>
          <w:lang w:val="pt-BR"/>
        </w:rPr>
        <w:t>14.3</w:t>
      </w:r>
      <w:r>
        <w:rPr>
          <w:rFonts w:hint="default"/>
          <w:sz w:val="22"/>
          <w:lang w:val="pt-BR"/>
        </w:rPr>
        <w:t xml:space="preserve"> -</w:t>
      </w:r>
      <w:r>
        <w:rPr>
          <w:rFonts w:hint="default"/>
          <w:sz w:val="22"/>
        </w:rPr>
        <w:t xml:space="preserve"> Apresentar a impugnação ao valor adicionado provisório, visando aumentar o índice de participação do Município na arrecadação do ICMS, bem como incrementar a arrecadação de tributos municipais que deverá ser apresentada dentro de 30 (trinta) dias após a publicação feita pela SEFAZ, devendo o pretenso contratado utilizar toda a sua experiência, doutrina e jurisprudências aplicáveis ao caso.</w:t>
      </w:r>
    </w:p>
    <w:p>
      <w:pPr>
        <w:jc w:val="both"/>
        <w:rPr>
          <w:sz w:val="22"/>
          <w:szCs w:val="22"/>
        </w:rPr>
      </w:pPr>
    </w:p>
    <w:p>
      <w:pPr>
        <w:jc w:val="both"/>
      </w:pPr>
      <w:r>
        <w:rPr>
          <w:b/>
          <w:bCs/>
          <w:sz w:val="22"/>
          <w:szCs w:val="22"/>
        </w:rPr>
        <w:t>14.</w:t>
      </w:r>
      <w:r>
        <w:rPr>
          <w:rFonts w:hint="default"/>
          <w:b/>
          <w:bCs/>
          <w:sz w:val="22"/>
          <w:szCs w:val="22"/>
          <w:lang w:val="pt-BR"/>
        </w:rPr>
        <w:t>4</w:t>
      </w:r>
      <w:r>
        <w:rPr>
          <w:sz w:val="22"/>
          <w:szCs w:val="22"/>
        </w:rPr>
        <w:t xml:space="preserve"> – A licitante vencedora sujeitar-se-á a mais ampla e irrestrita fiscalização por parte da Administração, encarregada de acompanhar a </w:t>
      </w:r>
      <w:r>
        <w:rPr>
          <w:rFonts w:hint="default"/>
          <w:sz w:val="22"/>
          <w:szCs w:val="22"/>
          <w:lang w:val="pt-BR"/>
        </w:rPr>
        <w:t>execução dos serviços</w:t>
      </w:r>
      <w:r>
        <w:rPr>
          <w:sz w:val="22"/>
          <w:szCs w:val="22"/>
        </w:rPr>
        <w:t xml:space="preserve"> prestando esclarecimentos solicitados atendendo as reclamações formuladas,  e anexar a Nota Fiscal, qual deverá ser acompanhado por um encarregado da Pasta.</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 xml:space="preserve">A Contratada deverá encaminhar junto a Nota Fiscal, documento em papel timbrado da empresa informando a </w:t>
      </w:r>
      <w:r>
        <w:rPr>
          <w:iCs/>
          <w:sz w:val="22"/>
          <w:szCs w:val="22"/>
          <w:lang w:val="pt-BR"/>
        </w:rPr>
        <w:t>Agência</w:t>
      </w:r>
      <w:r>
        <w:rPr>
          <w:iCs/>
          <w:sz w:val="22"/>
          <w:szCs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2</w:t>
      </w:r>
      <w:r>
        <w:rPr>
          <w:b/>
          <w:bCs/>
          <w:sz w:val="22"/>
          <w:szCs w:val="22"/>
        </w:rPr>
        <w:t xml:space="preserve">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 xml:space="preserve">3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4</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val="0"/>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val="0"/>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w:t>
      </w:r>
      <w:r>
        <w:rPr>
          <w:rFonts w:hint="default"/>
          <w:sz w:val="22"/>
          <w:szCs w:val="22"/>
          <w:lang w:val="pt-BR"/>
        </w:rPr>
        <w:t>serviços</w:t>
      </w:r>
      <w:r>
        <w:rPr>
          <w:sz w:val="22"/>
          <w:szCs w:val="22"/>
        </w:rPr>
        <w:t xml:space="preserve">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rPr>
          <w:sz w:val="22"/>
          <w:szCs w:val="22"/>
        </w:rPr>
      </w:pPr>
      <w:r>
        <w:rPr>
          <w:b/>
          <w:bCs/>
          <w:sz w:val="22"/>
          <w:szCs w:val="22"/>
        </w:rPr>
        <w:t>IV</w:t>
      </w:r>
      <w:r>
        <w:rPr>
          <w:sz w:val="22"/>
          <w:szCs w:val="22"/>
        </w:rPr>
        <w:t xml:space="preserve"> Manter todas as condições de habilitação exigidas na presente licitação:</w:t>
      </w:r>
    </w:p>
    <w:p>
      <w:pPr>
        <w:ind w:left="360" w:right="0" w:firstLine="0"/>
        <w:jc w:val="both"/>
        <w:rPr>
          <w:sz w:val="22"/>
          <w:szCs w:val="22"/>
        </w:rPr>
      </w:pPr>
    </w:p>
    <w:p>
      <w:pPr>
        <w:ind w:left="0" w:leftChars="0" w:right="0" w:firstLine="0" w:firstLineChars="0"/>
        <w:jc w:val="both"/>
        <w:rPr>
          <w:rFonts w:hint="default"/>
          <w:sz w:val="22"/>
          <w:szCs w:val="22"/>
        </w:rPr>
      </w:pPr>
      <w:r>
        <w:rPr>
          <w:rFonts w:hint="default"/>
          <w:b/>
          <w:bCs/>
          <w:sz w:val="22"/>
          <w:szCs w:val="22"/>
          <w:lang w:val="pt-BR"/>
        </w:rPr>
        <w:t>16.1.1 -</w:t>
      </w:r>
      <w:r>
        <w:rPr>
          <w:rFonts w:hint="default"/>
          <w:sz w:val="22"/>
          <w:szCs w:val="22"/>
          <w:lang w:val="pt-BR"/>
        </w:rPr>
        <w:t xml:space="preserve"> </w:t>
      </w:r>
      <w:r>
        <w:rPr>
          <w:rFonts w:hint="default"/>
          <w:sz w:val="22"/>
          <w:szCs w:val="22"/>
        </w:rPr>
        <w:t xml:space="preserve"> A Contratada terá como objetivo primordial, buscar todos os direitos que a Contratante tem de valor adicionado, em conformidade com o disposto no §10 e seguintes do Artigo 3º da Lei Complementar nº 63, de 11 de janeiro de 1990; </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16.1.2</w:t>
      </w:r>
      <w:r>
        <w:rPr>
          <w:rFonts w:hint="default"/>
          <w:sz w:val="22"/>
          <w:szCs w:val="22"/>
          <w:lang w:val="pt-BR"/>
        </w:rPr>
        <w:t xml:space="preserve"> -</w:t>
      </w:r>
      <w:r>
        <w:rPr>
          <w:rFonts w:hint="default"/>
          <w:sz w:val="22"/>
          <w:szCs w:val="22"/>
        </w:rPr>
        <w:t xml:space="preserve"> Efetuar a análise dos dados que compõem o índice de distribuição do produto da arrecadação do ICMS aos Municípios publicados pela SEFAZ (Secretaria de Estado de Fazenda);</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 xml:space="preserve">16.1.3 </w:t>
      </w:r>
      <w:r>
        <w:rPr>
          <w:rFonts w:hint="default"/>
          <w:sz w:val="22"/>
          <w:szCs w:val="22"/>
          <w:lang w:val="pt-BR"/>
        </w:rPr>
        <w:t>-</w:t>
      </w:r>
      <w:r>
        <w:rPr>
          <w:rFonts w:hint="default"/>
          <w:sz w:val="22"/>
          <w:szCs w:val="22"/>
        </w:rPr>
        <w:t xml:space="preserve"> Efetuar a solicitação, análise e avaliação da relação de contribuintes que participam da formação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16.1.4</w:t>
      </w:r>
      <w:r>
        <w:rPr>
          <w:rFonts w:hint="default"/>
          <w:sz w:val="22"/>
          <w:szCs w:val="22"/>
          <w:lang w:val="pt-BR"/>
        </w:rPr>
        <w:t xml:space="preserve"> -</w:t>
      </w:r>
      <w:r>
        <w:rPr>
          <w:rFonts w:hint="default"/>
          <w:sz w:val="22"/>
          <w:szCs w:val="22"/>
        </w:rPr>
        <w:t xml:space="preserve"> Solicitação, análise e avaliação da relação dos maiores contribuintes que participam na formação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16.1.5</w:t>
      </w:r>
      <w:r>
        <w:rPr>
          <w:rFonts w:hint="default"/>
          <w:sz w:val="22"/>
          <w:szCs w:val="22"/>
          <w:lang w:val="pt-BR"/>
        </w:rPr>
        <w:t xml:space="preserve"> -</w:t>
      </w:r>
      <w:r>
        <w:rPr>
          <w:rFonts w:hint="default"/>
          <w:sz w:val="22"/>
          <w:szCs w:val="22"/>
        </w:rPr>
        <w:t xml:space="preserve"> Solicitação, análise e avaliação de contribuintes omissos da GIA (Guia de Informação e Apuração de ICMS) e da DAP (Declaração Anual de Produtor Rural);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16.1.6</w:t>
      </w:r>
      <w:r>
        <w:rPr>
          <w:rFonts w:hint="default"/>
          <w:sz w:val="22"/>
          <w:szCs w:val="22"/>
          <w:lang w:val="pt-BR"/>
        </w:rPr>
        <w:t xml:space="preserve"> - </w:t>
      </w:r>
      <w:r>
        <w:rPr>
          <w:rFonts w:hint="default"/>
          <w:sz w:val="22"/>
          <w:szCs w:val="22"/>
        </w:rPr>
        <w:t>Solicitação das informações de contribuintes omissos com a entrega dos documentos fiscais: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 xml:space="preserve">16.1.7 </w:t>
      </w:r>
      <w:r>
        <w:rPr>
          <w:rFonts w:hint="default"/>
          <w:sz w:val="22"/>
          <w:szCs w:val="22"/>
          <w:lang w:val="pt-BR"/>
        </w:rPr>
        <w:t xml:space="preserve">- </w:t>
      </w:r>
      <w:r>
        <w:rPr>
          <w:rFonts w:hint="default"/>
          <w:sz w:val="22"/>
          <w:szCs w:val="22"/>
        </w:rPr>
        <w:t>Solicitação, análise e avaliação de NFPS (Notas Fiscais de Produtor Rural), NFAS (Notas Fiscais Avulsas), NFP-e (Notas Fiscais Eletrônicas de Produtor Rural) e NFP-e (Notas Fiscais Eletrônicas);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16.1.8</w:t>
      </w:r>
      <w:r>
        <w:rPr>
          <w:rFonts w:hint="default"/>
          <w:sz w:val="22"/>
          <w:szCs w:val="22"/>
          <w:lang w:val="pt-BR"/>
        </w:rPr>
        <w:t xml:space="preserve"> - </w:t>
      </w:r>
      <w:r>
        <w:rPr>
          <w:rFonts w:hint="default"/>
          <w:sz w:val="22"/>
          <w:szCs w:val="22"/>
        </w:rPr>
        <w:t>Análise de outras atividades que venham a contribuir com o aumento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16.1.9</w:t>
      </w:r>
      <w:r>
        <w:rPr>
          <w:rFonts w:hint="default"/>
          <w:sz w:val="22"/>
          <w:szCs w:val="22"/>
          <w:lang w:val="pt-BR"/>
        </w:rPr>
        <w:t xml:space="preserve"> - </w:t>
      </w:r>
      <w:r>
        <w:rPr>
          <w:rFonts w:hint="default"/>
          <w:sz w:val="22"/>
          <w:szCs w:val="22"/>
        </w:rPr>
        <w:t>Efetuar análise da composição do índice de participação dos municípios provisório publicado pelo Estado por meio da Resolução SEFAZ, identificando eventuais falhas na apuração dos itens que compõem a formação do referido índice, manejando o competente recurso administrativo, se cabível, com acompanhamento até a publicação dos valores definitivos;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16.1.10</w:t>
      </w:r>
      <w:r>
        <w:rPr>
          <w:rFonts w:hint="default"/>
          <w:sz w:val="22"/>
          <w:szCs w:val="22"/>
          <w:lang w:val="pt-BR"/>
        </w:rPr>
        <w:t xml:space="preserve"> - </w:t>
      </w:r>
      <w:r>
        <w:rPr>
          <w:rFonts w:hint="default"/>
          <w:sz w:val="22"/>
          <w:szCs w:val="22"/>
        </w:rPr>
        <w:t>A Contratada deverá elaborar relatórios mensalmente referente ao acompanhamento do trabalho, indicando as atividades realizadas, os entraves identificados e os respectivos encaminhamentos, bem como referente ao financeiro, a partir do primeiro crédito decorrente do incremento da receita, detalhando os valores arrecadados mês a mês e, relatório final consolidado contendo, o resumo das ações desempenhadas e suas consequências em favor do município;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16.1.11</w:t>
      </w:r>
      <w:r>
        <w:rPr>
          <w:rFonts w:hint="default"/>
          <w:sz w:val="22"/>
          <w:szCs w:val="22"/>
          <w:lang w:val="pt-BR"/>
        </w:rPr>
        <w:t xml:space="preserve"> - </w:t>
      </w:r>
      <w:r>
        <w:rPr>
          <w:rFonts w:hint="default"/>
          <w:sz w:val="22"/>
          <w:szCs w:val="22"/>
        </w:rPr>
        <w:t>A Contratada deverá assumir todas as despesas necessárias ao cumprimento da prestação dos serviços técnicos e profissionais especializados, principalmente as despesas decorrentes de viagens e deslocamentos, inclusive no caso de estadia e alimentação relacionadas com a necessidade de permanência na cidade, ou mesmo no caso de deslocamento para outras localidades, a fim de atender o interesse do serviço público da Municipalidade;</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16.1.12</w:t>
      </w:r>
      <w:r>
        <w:rPr>
          <w:rFonts w:hint="default"/>
          <w:sz w:val="22"/>
          <w:szCs w:val="22"/>
          <w:lang w:val="pt-BR"/>
        </w:rPr>
        <w:t xml:space="preserve"> - </w:t>
      </w:r>
      <w:r>
        <w:rPr>
          <w:rFonts w:hint="default"/>
          <w:sz w:val="22"/>
          <w:szCs w:val="22"/>
        </w:rPr>
        <w:t>Os serviços poderão ser também disponibilizados à distância, com atendimento “online” ou por telefone, com orientação técnica abrangendo durante todo o período contratado;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16.1.13</w:t>
      </w:r>
      <w:r>
        <w:rPr>
          <w:rFonts w:hint="default"/>
          <w:sz w:val="22"/>
          <w:szCs w:val="22"/>
          <w:lang w:val="pt-BR"/>
        </w:rPr>
        <w:t xml:space="preserve"> - </w:t>
      </w:r>
      <w:r>
        <w:rPr>
          <w:rFonts w:hint="default"/>
          <w:sz w:val="22"/>
          <w:szCs w:val="22"/>
        </w:rPr>
        <w:t>Prestar, sem quaisquer ônus para a Contratante, os serviços necessários à correção e revisão de falhas ou defeitos verificados na execução do trabalho, sempre que a ela imputáveis;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16.1.14</w:t>
      </w:r>
      <w:r>
        <w:rPr>
          <w:rFonts w:hint="default"/>
          <w:sz w:val="22"/>
          <w:szCs w:val="22"/>
          <w:lang w:val="pt-BR"/>
        </w:rPr>
        <w:t xml:space="preserve"> - </w:t>
      </w:r>
      <w:r>
        <w:rPr>
          <w:rFonts w:hint="default"/>
          <w:sz w:val="22"/>
          <w:szCs w:val="22"/>
        </w:rPr>
        <w:t>A Contratada obrigar-se-á a manter a mais absoluta confidencialidade sobre materiais, dados e informações disponibilizados ou conhecidos em decorrência da contratação, bem como trata-los como matéria sigilosa;</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16.1.15</w:t>
      </w:r>
      <w:r>
        <w:rPr>
          <w:rFonts w:hint="default"/>
          <w:sz w:val="22"/>
          <w:szCs w:val="22"/>
          <w:lang w:val="pt-BR"/>
        </w:rPr>
        <w:t xml:space="preserve"> - </w:t>
      </w:r>
      <w:r>
        <w:rPr>
          <w:rFonts w:hint="default"/>
          <w:sz w:val="22"/>
          <w:szCs w:val="22"/>
        </w:rPr>
        <w:t>Deverá prestar os serviços na forma ajustada da legislação aplicável observando as normas legais e jurisprudências e relatar a Contratante imediatamente sobre qualquer irregularidade observada que porventura possam prejudicar ou embaraçar o perfeito desempenho das atividades dos serviços contratados;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16.1.16</w:t>
      </w:r>
      <w:r>
        <w:rPr>
          <w:rFonts w:hint="default"/>
          <w:sz w:val="22"/>
          <w:szCs w:val="22"/>
          <w:lang w:val="pt-BR"/>
        </w:rPr>
        <w:t xml:space="preserve"> - </w:t>
      </w:r>
      <w:r>
        <w:rPr>
          <w:rFonts w:hint="default"/>
          <w:sz w:val="22"/>
          <w:szCs w:val="22"/>
        </w:rPr>
        <w:t>A Contratada deverá proporcionar um acompanhamento da evolução do valor adicionado, requerer informações, impugnar procedimentos, documentos e cálculos, protestar pela inclusão de valores para formação do valor econômico do Município de Naviraí/MS e todos atos necessários para fazer e processar todas as informações que, direta ou indiretamente, contribuam para o aumento do índice de participação do Município no ICMS;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16.1.17</w:t>
      </w:r>
      <w:r>
        <w:rPr>
          <w:rFonts w:hint="default"/>
          <w:sz w:val="22"/>
          <w:szCs w:val="22"/>
          <w:lang w:val="pt-BR"/>
        </w:rPr>
        <w:t xml:space="preserve"> - </w:t>
      </w:r>
      <w:r>
        <w:rPr>
          <w:rFonts w:hint="default"/>
          <w:sz w:val="22"/>
          <w:szCs w:val="22"/>
        </w:rPr>
        <w:t xml:space="preserve">Os serviços deverão ser executados </w:t>
      </w:r>
      <w:r>
        <w:rPr>
          <w:rFonts w:hint="default"/>
          <w:b/>
          <w:bCs/>
          <w:sz w:val="22"/>
          <w:szCs w:val="22"/>
        </w:rPr>
        <w:t>“in loco”</w:t>
      </w:r>
      <w:r>
        <w:rPr>
          <w:rFonts w:hint="default"/>
          <w:sz w:val="22"/>
          <w:szCs w:val="22"/>
        </w:rPr>
        <w:t xml:space="preserve"> no mínimo a cada 15 (quinze) dias, na Sede da Prefeitura Municipal de Naviraí/MS e a qualquer tempo quando necessário, através dos meios de comunicação disponíveis, tais como telefone, e-mail, aplicativo WhatsApp;</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16.1.18</w:t>
      </w:r>
      <w:r>
        <w:rPr>
          <w:rFonts w:hint="default"/>
          <w:sz w:val="22"/>
          <w:szCs w:val="22"/>
          <w:lang w:val="pt-BR"/>
        </w:rPr>
        <w:t xml:space="preserve"> - </w:t>
      </w:r>
      <w:r>
        <w:rPr>
          <w:rFonts w:hint="default"/>
          <w:sz w:val="22"/>
          <w:szCs w:val="22"/>
        </w:rPr>
        <w:t>A Contratada possibilitará a fiscalização pela Contratante quanto à execução, controle e supervisão dos recursos alocados aos seus contratos;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16.1.19</w:t>
      </w:r>
      <w:r>
        <w:rPr>
          <w:rFonts w:hint="default"/>
          <w:sz w:val="22"/>
          <w:szCs w:val="22"/>
          <w:lang w:val="pt-BR"/>
        </w:rPr>
        <w:t xml:space="preserve"> - </w:t>
      </w:r>
      <w:r>
        <w:rPr>
          <w:rFonts w:hint="default"/>
          <w:sz w:val="22"/>
          <w:szCs w:val="22"/>
        </w:rPr>
        <w:t>A Contratada assumirá responsabilidade integral e exclusiva pelos serviços contratados bem como, responderá por todas as atividades decorrentes da prestação de serviços, objeto do Contrato, nos termos do Código Civil Brasileiro;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16.1.20</w:t>
      </w:r>
      <w:r>
        <w:rPr>
          <w:rFonts w:hint="default"/>
          <w:sz w:val="22"/>
          <w:szCs w:val="22"/>
          <w:lang w:val="pt-BR"/>
        </w:rPr>
        <w:t xml:space="preserve"> - </w:t>
      </w:r>
      <w:r>
        <w:rPr>
          <w:rFonts w:hint="default"/>
          <w:sz w:val="22"/>
          <w:szCs w:val="22"/>
        </w:rPr>
        <w:t xml:space="preserve">A Contratada deverá apresentar Atestado de Capacidade Técnica/Operacional, eis que o atestado é a declaração fornecida pelo serviço, pessoa física ou jurídica de direito público ou privado, que atesta a prestação de serviço e identifique seus elementos quantitativos e qualitativos, o local e o período de execução, os responsáveis técnicos envolvidos e as atividades técnicas executadas; </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16.1.21</w:t>
      </w:r>
      <w:r>
        <w:rPr>
          <w:rFonts w:hint="default"/>
          <w:sz w:val="22"/>
          <w:szCs w:val="22"/>
          <w:lang w:val="pt-BR"/>
        </w:rPr>
        <w:t xml:space="preserve"> - </w:t>
      </w:r>
      <w:r>
        <w:rPr>
          <w:rFonts w:hint="default"/>
          <w:sz w:val="22"/>
          <w:szCs w:val="22"/>
        </w:rPr>
        <w:t>A Contratada deverá adotar práticas de sustentabilidade na execução dos serviços, conforme orientações do art. 6° da IN nº. 01/2010 (Compras Sustentáveis);</w:t>
      </w:r>
    </w:p>
    <w:p>
      <w:pPr>
        <w:ind w:left="0" w:leftChars="0" w:right="0" w:firstLine="0" w:firstLineChars="0"/>
        <w:jc w:val="both"/>
        <w:rPr>
          <w:rFonts w:hint="default"/>
          <w:sz w:val="22"/>
          <w:szCs w:val="22"/>
        </w:rPr>
      </w:pPr>
    </w:p>
    <w:p>
      <w:pPr>
        <w:ind w:left="0" w:leftChars="0" w:right="0" w:firstLine="0" w:firstLineChars="0"/>
        <w:jc w:val="both"/>
        <w:rPr>
          <w:sz w:val="22"/>
          <w:szCs w:val="22"/>
        </w:rPr>
      </w:pPr>
      <w:r>
        <w:rPr>
          <w:rFonts w:hint="default"/>
          <w:b/>
          <w:bCs/>
          <w:sz w:val="22"/>
          <w:szCs w:val="22"/>
          <w:lang w:val="pt-BR"/>
        </w:rPr>
        <w:t>16.1.22</w:t>
      </w:r>
      <w:r>
        <w:rPr>
          <w:rFonts w:hint="default"/>
          <w:sz w:val="22"/>
          <w:szCs w:val="22"/>
          <w:lang w:val="pt-BR"/>
        </w:rPr>
        <w:t xml:space="preserve"> - </w:t>
      </w:r>
      <w:r>
        <w:rPr>
          <w:rFonts w:hint="default"/>
          <w:sz w:val="22"/>
          <w:szCs w:val="22"/>
        </w:rPr>
        <w:t>Aceitar nas mesmas condições contratuais os acréscimos ou supressões de até 25% (vinte e cinco porcento).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w:t>
      </w:r>
      <w:r>
        <w:rPr>
          <w:rFonts w:hint="default" w:ascii="Times New Roman" w:hAnsi="Times New Roman" w:eastAsia="Times New Roman" w:cs="Times New Roman"/>
          <w:sz w:val="22"/>
          <w:szCs w:val="22"/>
          <w:lang w:val="pt-BR"/>
        </w:rPr>
        <w:t xml:space="preserve"> </w:t>
      </w:r>
      <w:r>
        <w:rPr>
          <w:rFonts w:hint="default" w:ascii="Times New Roman" w:hAnsi="Times New Roman" w:eastAsia="Times New Roman" w:cs="Times New Roman"/>
          <w:sz w:val="22"/>
          <w:szCs w:val="22"/>
          <w:lang w:val="pt"/>
        </w:rPr>
        <w:t>Acompanhar e fiscalizar a prestação do serviço, anotando em registro próprio as falhas detectadas, comunicando ao contratado as ocorrências de quaisquer fatos que, a seu critério, exijam medidas corretivas por parte daquela;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 xml:space="preserve">II </w:t>
      </w:r>
      <w:r>
        <w:rPr>
          <w:rFonts w:hint="default" w:ascii="Times New Roman" w:hAnsi="Times New Roman" w:eastAsia="Times New Roman" w:cs="Times New Roman"/>
          <w:sz w:val="22"/>
          <w:szCs w:val="22"/>
          <w:lang w:val="pt"/>
        </w:rPr>
        <w:t>Fornecer todos os dados que possua em seus cadastros e que possa contribuir com a realização dos serviços descritos no objeto;</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III</w:t>
      </w:r>
      <w:r>
        <w:rPr>
          <w:rFonts w:hint="default" w:ascii="Times New Roman" w:hAnsi="Times New Roman" w:eastAsia="Times New Roman" w:cs="Times New Roman"/>
          <w:sz w:val="22"/>
          <w:szCs w:val="22"/>
          <w:lang w:val="pt"/>
        </w:rPr>
        <w:t xml:space="preserve"> Receber o objeto deste Termo de Referência na forma supracitada;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IV</w:t>
      </w:r>
      <w:r>
        <w:rPr>
          <w:rFonts w:hint="default" w:ascii="Times New Roman" w:hAnsi="Times New Roman" w:eastAsia="Times New Roman" w:cs="Times New Roman"/>
          <w:sz w:val="22"/>
          <w:szCs w:val="22"/>
          <w:lang w:val="pt"/>
        </w:rPr>
        <w:t xml:space="preserve"> Efetuar o pagamento ao contratado de acordo com a forma e os prazos estabelecidos neste Termo de Referência;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cs="Times New Roman"/>
          <w:color w:val="auto"/>
          <w:sz w:val="24"/>
          <w:szCs w:val="24"/>
          <w:lang w:val="pt"/>
        </w:rPr>
      </w:pPr>
      <w:r>
        <w:rPr>
          <w:rFonts w:hint="default" w:ascii="Times New Roman" w:hAnsi="Times New Roman" w:eastAsia="Times New Roman" w:cs="Times New Roman"/>
          <w:b/>
          <w:bCs/>
          <w:sz w:val="22"/>
          <w:szCs w:val="22"/>
          <w:lang w:val="pt-BR"/>
        </w:rPr>
        <w:t>V</w:t>
      </w:r>
      <w:r>
        <w:rPr>
          <w:rFonts w:hint="default" w:ascii="Times New Roman" w:hAnsi="Times New Roman" w:eastAsia="Times New Roman" w:cs="Times New Roman"/>
          <w:b/>
          <w:bCs/>
          <w:sz w:val="22"/>
          <w:szCs w:val="22"/>
          <w:lang w:val="pt"/>
        </w:rPr>
        <w:t xml:space="preserve"> </w:t>
      </w:r>
      <w:r>
        <w:rPr>
          <w:rFonts w:hint="default" w:ascii="Times New Roman" w:hAnsi="Times New Roman" w:eastAsia="Times New Roman" w:cs="Times New Roman"/>
          <w:sz w:val="22"/>
          <w:szCs w:val="22"/>
          <w:lang w:val="pt"/>
        </w:rPr>
        <w:t>Notificar o contratado por escrito a ocorrência de irregularidades na prestação dos s</w:t>
      </w:r>
      <w:r>
        <w:rPr>
          <w:rFonts w:hint="default" w:ascii="Times New Roman" w:hAnsi="Times New Roman" w:cs="Times New Roman"/>
          <w:color w:val="auto"/>
          <w:sz w:val="24"/>
          <w:szCs w:val="24"/>
          <w:lang w:val="pt"/>
        </w:rPr>
        <w:t>erviços;</w:t>
      </w:r>
    </w:p>
    <w:p>
      <w:pPr>
        <w:ind w:right="0"/>
        <w:jc w:val="both"/>
        <w:rPr>
          <w:rFonts w:hint="default" w:ascii="Times New Roman" w:hAnsi="Times New Roman" w:cs="Times New Roman"/>
          <w:color w:val="auto"/>
          <w:sz w:val="24"/>
          <w:szCs w:val="24"/>
          <w:lang w:val="pt"/>
        </w:rPr>
      </w:pPr>
    </w:p>
    <w:p>
      <w:pPr>
        <w:ind w:right="0"/>
        <w:jc w:val="both"/>
        <w:rPr>
          <w:sz w:val="22"/>
          <w:szCs w:val="22"/>
        </w:rPr>
      </w:pPr>
      <w:r>
        <w:rPr>
          <w:b/>
          <w:bCs/>
          <w:sz w:val="22"/>
          <w:szCs w:val="22"/>
        </w:rPr>
        <w:t>V</w:t>
      </w:r>
      <w:r>
        <w:rPr>
          <w:rFonts w:hint="default"/>
          <w:b/>
          <w:bCs/>
          <w:sz w:val="22"/>
          <w:szCs w:val="22"/>
          <w:lang w:val="pt-BR"/>
        </w:rPr>
        <w:t>I</w:t>
      </w:r>
      <w:r>
        <w:rPr>
          <w:sz w:val="22"/>
          <w:szCs w:val="22"/>
        </w:rPr>
        <w:t xml:space="preserve"> Aplicar as sanções administrativas contratuais pertinentes, em caso de inadimplemento.</w:t>
      </w:r>
    </w:p>
    <w:p>
      <w:pPr>
        <w:ind w:left="360" w:right="0" w:firstLine="0"/>
        <w:jc w:val="both"/>
        <w:rPr>
          <w:sz w:val="22"/>
          <w:szCs w:val="22"/>
        </w:rPr>
      </w:pP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4"/>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sz w:val="22"/>
          <w:szCs w:val="22"/>
        </w:rPr>
      </w:pPr>
    </w:p>
    <w:p>
      <w:pPr>
        <w:pStyle w:val="14"/>
        <w:ind w:left="360" w:right="0" w:firstLine="0"/>
        <w:rPr>
          <w:bCs/>
          <w:sz w:val="22"/>
          <w:szCs w:val="22"/>
        </w:rPr>
      </w:pPr>
      <w:r>
        <w:rPr>
          <w:bCs/>
          <w:sz w:val="22"/>
          <w:szCs w:val="22"/>
        </w:rPr>
        <w:t xml:space="preserve">I - advertência; </w:t>
      </w:r>
    </w:p>
    <w:p>
      <w:pPr>
        <w:pStyle w:val="14"/>
        <w:ind w:left="360" w:right="0" w:firstLine="0"/>
        <w:rPr>
          <w:bCs/>
          <w:sz w:val="22"/>
          <w:szCs w:val="22"/>
          <w:lang w:val="pt-BR"/>
        </w:rPr>
      </w:pPr>
    </w:p>
    <w:p>
      <w:pPr>
        <w:pStyle w:val="14"/>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4"/>
        <w:ind w:left="360" w:right="0" w:firstLine="0"/>
        <w:rPr>
          <w:b/>
          <w:sz w:val="22"/>
          <w:szCs w:val="22"/>
          <w:lang w:val="pt-BR"/>
        </w:rPr>
      </w:pPr>
    </w:p>
    <w:p>
      <w:pPr>
        <w:pStyle w:val="14"/>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4"/>
        <w:ind w:left="360" w:right="0" w:firstLine="0"/>
        <w:rPr>
          <w:bCs/>
          <w:sz w:val="22"/>
          <w:szCs w:val="22"/>
          <w:lang w:val="pt-BR"/>
        </w:rPr>
      </w:pPr>
    </w:p>
    <w:p>
      <w:pPr>
        <w:pStyle w:val="14"/>
        <w:ind w:left="360" w:right="0" w:firstLine="0"/>
        <w:rPr>
          <w:bCs/>
          <w:sz w:val="22"/>
          <w:szCs w:val="22"/>
        </w:rPr>
      </w:pPr>
      <w:r>
        <w:rPr>
          <w:bCs/>
          <w:sz w:val="22"/>
          <w:szCs w:val="22"/>
        </w:rPr>
        <w:t>IV - declaração de inidoneidade para licitar ou contratar com a Administração Pública.</w:t>
      </w:r>
    </w:p>
    <w:p>
      <w:pPr>
        <w:pStyle w:val="14"/>
        <w:rPr>
          <w:bCs/>
          <w:sz w:val="22"/>
          <w:szCs w:val="22"/>
        </w:rPr>
      </w:pPr>
    </w:p>
    <w:p>
      <w:pPr>
        <w:pStyle w:val="14"/>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4"/>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rPr>
          <w:b/>
          <w:bCs/>
          <w:u w:val="single"/>
        </w:rPr>
      </w:pPr>
      <w:r>
        <w:rPr>
          <w:b/>
          <w:bCs/>
          <w:sz w:val="22"/>
        </w:rPr>
        <w:t>18.1</w:t>
      </w:r>
      <w:r>
        <w:rPr>
          <w:sz w:val="22"/>
        </w:rPr>
        <w:t xml:space="preserve"> </w:t>
      </w:r>
      <w:r>
        <w:rPr>
          <w:b w:val="0"/>
          <w:bCs w:val="0"/>
          <w:sz w:val="22"/>
          <w:szCs w:val="22"/>
        </w:rPr>
        <w:t>Os interessados poderão solicitar esclarecimentos, providências ou impugnar os termos do</w:t>
      </w:r>
      <w:r>
        <w:rPr>
          <w:b w:val="0"/>
          <w:bCs w:val="0"/>
          <w:spacing w:val="1"/>
          <w:sz w:val="22"/>
          <w:szCs w:val="22"/>
        </w:rPr>
        <w:t xml:space="preserve"> </w:t>
      </w:r>
      <w:r>
        <w:rPr>
          <w:b w:val="0"/>
          <w:bCs w:val="0"/>
          <w:sz w:val="22"/>
          <w:szCs w:val="22"/>
        </w:rPr>
        <w:t>presente</w:t>
      </w:r>
      <w:r>
        <w:rPr>
          <w:b w:val="0"/>
          <w:bCs w:val="0"/>
          <w:spacing w:val="1"/>
          <w:sz w:val="22"/>
          <w:szCs w:val="22"/>
        </w:rPr>
        <w:t xml:space="preserve"> </w:t>
      </w:r>
      <w:r>
        <w:rPr>
          <w:b w:val="0"/>
          <w:bCs w:val="0"/>
          <w:sz w:val="22"/>
          <w:szCs w:val="22"/>
        </w:rPr>
        <w:t>edital</w:t>
      </w:r>
      <w:r>
        <w:rPr>
          <w:b w:val="0"/>
          <w:bCs w:val="0"/>
          <w:spacing w:val="1"/>
          <w:sz w:val="22"/>
          <w:szCs w:val="22"/>
        </w:rPr>
        <w:t xml:space="preserve"> </w:t>
      </w:r>
      <w:r>
        <w:rPr>
          <w:b w:val="0"/>
          <w:bCs w:val="0"/>
          <w:sz w:val="22"/>
          <w:szCs w:val="22"/>
        </w:rPr>
        <w:t>por</w:t>
      </w:r>
      <w:r>
        <w:rPr>
          <w:b w:val="0"/>
          <w:bCs w:val="0"/>
          <w:spacing w:val="1"/>
          <w:sz w:val="22"/>
          <w:szCs w:val="22"/>
        </w:rPr>
        <w:t xml:space="preserve"> </w:t>
      </w:r>
      <w:r>
        <w:rPr>
          <w:b w:val="0"/>
          <w:bCs w:val="0"/>
          <w:sz w:val="22"/>
          <w:szCs w:val="22"/>
        </w:rPr>
        <w:t>irregularidade</w:t>
      </w:r>
      <w:r>
        <w:rPr>
          <w:b w:val="0"/>
          <w:bCs w:val="0"/>
          <w:spacing w:val="1"/>
          <w:sz w:val="22"/>
          <w:szCs w:val="22"/>
        </w:rPr>
        <w:t xml:space="preserve"> </w:t>
      </w:r>
      <w:r>
        <w:rPr>
          <w:b w:val="0"/>
          <w:bCs w:val="0"/>
          <w:sz w:val="22"/>
          <w:szCs w:val="22"/>
        </w:rPr>
        <w:t>comprovada,</w:t>
      </w:r>
      <w:r>
        <w:rPr>
          <w:b w:val="0"/>
          <w:bCs w:val="0"/>
          <w:spacing w:val="1"/>
          <w:sz w:val="22"/>
          <w:szCs w:val="22"/>
        </w:rPr>
        <w:t xml:space="preserve"> </w:t>
      </w:r>
      <w:r>
        <w:rPr>
          <w:b w:val="0"/>
          <w:bCs w:val="0"/>
          <w:sz w:val="22"/>
          <w:szCs w:val="22"/>
        </w:rPr>
        <w:t>encaminhando</w:t>
      </w:r>
      <w:r>
        <w:rPr>
          <w:b w:val="0"/>
          <w:bCs w:val="0"/>
          <w:spacing w:val="1"/>
          <w:sz w:val="22"/>
          <w:szCs w:val="22"/>
        </w:rPr>
        <w:t xml:space="preserve"> </w:t>
      </w:r>
      <w:r>
        <w:rPr>
          <w:b w:val="0"/>
          <w:bCs w:val="0"/>
          <w:sz w:val="22"/>
          <w:szCs w:val="22"/>
        </w:rPr>
        <w:t>solicitação</w:t>
      </w:r>
      <w:r>
        <w:rPr>
          <w:b w:val="0"/>
          <w:bCs w:val="0"/>
          <w:spacing w:val="1"/>
          <w:sz w:val="22"/>
          <w:szCs w:val="22"/>
        </w:rPr>
        <w:t xml:space="preserve"> </w:t>
      </w:r>
      <w:r>
        <w:rPr>
          <w:b w:val="0"/>
          <w:bCs w:val="0"/>
          <w:sz w:val="22"/>
          <w:szCs w:val="22"/>
        </w:rPr>
        <w:t>via</w:t>
      </w:r>
      <w:r>
        <w:rPr>
          <w:b w:val="0"/>
          <w:bCs w:val="0"/>
          <w:spacing w:val="1"/>
          <w:sz w:val="22"/>
          <w:szCs w:val="22"/>
        </w:rPr>
        <w:t xml:space="preserve"> </w:t>
      </w:r>
      <w:r>
        <w:rPr>
          <w:b w:val="0"/>
          <w:bCs w:val="0"/>
          <w:sz w:val="22"/>
          <w:szCs w:val="22"/>
        </w:rPr>
        <w:t>correio</w:t>
      </w:r>
      <w:r>
        <w:rPr>
          <w:b w:val="0"/>
          <w:bCs w:val="0"/>
          <w:spacing w:val="1"/>
          <w:sz w:val="22"/>
          <w:szCs w:val="22"/>
        </w:rPr>
        <w:t xml:space="preserve"> </w:t>
      </w:r>
      <w:r>
        <w:rPr>
          <w:b w:val="0"/>
          <w:bCs w:val="0"/>
          <w:sz w:val="22"/>
          <w:szCs w:val="22"/>
        </w:rPr>
        <w:t>ou</w:t>
      </w:r>
      <w:r>
        <w:rPr>
          <w:b w:val="0"/>
          <w:bCs w:val="0"/>
          <w:spacing w:val="1"/>
          <w:sz w:val="22"/>
          <w:szCs w:val="22"/>
        </w:rPr>
        <w:t xml:space="preserve"> </w:t>
      </w:r>
      <w:r>
        <w:rPr>
          <w:b w:val="0"/>
          <w:bCs w:val="0"/>
          <w:sz w:val="22"/>
          <w:szCs w:val="22"/>
        </w:rPr>
        <w:t>protocolizando (É considerado protocolizado quando o documento ou AR é recebido por servidor</w:t>
      </w:r>
      <w:r>
        <w:rPr>
          <w:b w:val="0"/>
          <w:bCs w:val="0"/>
          <w:spacing w:val="-57"/>
          <w:sz w:val="22"/>
          <w:szCs w:val="22"/>
        </w:rPr>
        <w:t xml:space="preserve"> </w:t>
      </w:r>
      <w:r>
        <w:rPr>
          <w:b w:val="0"/>
          <w:bCs w:val="0"/>
          <w:sz w:val="22"/>
          <w:szCs w:val="22"/>
        </w:rPr>
        <w:t>do Paço Municipal – Art. 3º do Decreto Municipal 024/2014) no endereço discriminado no</w:t>
      </w:r>
      <w:r>
        <w:rPr>
          <w:b w:val="0"/>
          <w:bCs w:val="0"/>
          <w:spacing w:val="1"/>
          <w:sz w:val="22"/>
          <w:szCs w:val="22"/>
        </w:rPr>
        <w:t xml:space="preserve"> </w:t>
      </w:r>
      <w:r>
        <w:rPr>
          <w:b w:val="0"/>
          <w:bCs w:val="0"/>
          <w:sz w:val="22"/>
          <w:szCs w:val="22"/>
        </w:rPr>
        <w:t>subitem 10.4 deste edital de acordo com os prazos do Art. 12 do Decreto Municipal 091/2005</w:t>
      </w:r>
      <w:r>
        <w:rPr>
          <w:sz w:val="22"/>
          <w:szCs w:val="22"/>
        </w:rPr>
        <w:t xml:space="preserve"> (</w:t>
      </w:r>
      <w:r>
        <w:rPr>
          <w:b/>
          <w:sz w:val="22"/>
          <w:szCs w:val="22"/>
          <w:highlight w:val="yellow"/>
        </w:rPr>
        <w:t>até dois dias úteis antes da data fixada para recebimento das propostas</w:t>
      </w:r>
      <w:r>
        <w:rPr>
          <w:sz w:val="22"/>
          <w:szCs w:val="22"/>
        </w:rPr>
        <w:t xml:space="preserve">), desta forma cabendo a pregoeira decidir sobre a petição. Serão aceitos via e-mail: </w:t>
      </w:r>
      <w:r>
        <w:rPr>
          <w:color w:val="0000FF"/>
          <w:sz w:val="22"/>
          <w:szCs w:val="22"/>
          <w:u w:val="single" w:color="0000FF"/>
        </w:rPr>
        <w:t>(licitacaonavirai@gmail.com),</w:t>
      </w:r>
      <w:r>
        <w:rPr>
          <w:color w:val="0000FF"/>
          <w:spacing w:val="3"/>
          <w:sz w:val="22"/>
          <w:szCs w:val="22"/>
        </w:rPr>
        <w:t xml:space="preserve"> </w:t>
      </w:r>
      <w:r>
        <w:rPr>
          <w:sz w:val="22"/>
          <w:szCs w:val="22"/>
        </w:rPr>
        <w:t>desde</w:t>
      </w:r>
      <w:r>
        <w:rPr>
          <w:spacing w:val="-1"/>
          <w:sz w:val="22"/>
          <w:szCs w:val="22"/>
        </w:rPr>
        <w:t xml:space="preserve"> </w:t>
      </w:r>
      <w:r>
        <w:rPr>
          <w:sz w:val="22"/>
          <w:szCs w:val="22"/>
        </w:rPr>
        <w:t>que</w:t>
      </w:r>
      <w:r>
        <w:rPr>
          <w:spacing w:val="-2"/>
          <w:sz w:val="22"/>
          <w:szCs w:val="22"/>
        </w:rPr>
        <w:t xml:space="preserve"> </w:t>
      </w:r>
      <w:r>
        <w:rPr>
          <w:b/>
          <w:bCs/>
          <w:sz w:val="22"/>
          <w:szCs w:val="22"/>
          <w:u w:val="single"/>
        </w:rPr>
        <w:t>avisado a</w:t>
      </w:r>
      <w:r>
        <w:rPr>
          <w:b/>
          <w:bCs/>
          <w:spacing w:val="-2"/>
          <w:sz w:val="22"/>
          <w:szCs w:val="22"/>
          <w:u w:val="single"/>
        </w:rPr>
        <w:t xml:space="preserve"> </w:t>
      </w:r>
      <w:r>
        <w:rPr>
          <w:b/>
          <w:bCs/>
          <w:sz w:val="22"/>
          <w:szCs w:val="22"/>
          <w:u w:val="single"/>
        </w:rPr>
        <w:t>pregoeira</w:t>
      </w:r>
      <w:r>
        <w:rPr>
          <w:b/>
          <w:bCs/>
          <w:spacing w:val="-1"/>
          <w:sz w:val="22"/>
          <w:szCs w:val="22"/>
          <w:u w:val="single"/>
        </w:rPr>
        <w:t xml:space="preserve"> </w:t>
      </w:r>
      <w:r>
        <w:rPr>
          <w:b/>
          <w:bCs/>
          <w:sz w:val="22"/>
          <w:szCs w:val="22"/>
          <w:u w:val="single"/>
        </w:rPr>
        <w:t>por</w:t>
      </w:r>
      <w:r>
        <w:rPr>
          <w:b/>
          <w:bCs/>
          <w:spacing w:val="-2"/>
          <w:sz w:val="22"/>
          <w:szCs w:val="22"/>
          <w:u w:val="single"/>
        </w:rPr>
        <w:t xml:space="preserve"> </w:t>
      </w:r>
      <w:r>
        <w:rPr>
          <w:b/>
          <w:bCs/>
          <w:sz w:val="22"/>
          <w:szCs w:val="22"/>
          <w:u w:val="single"/>
        </w:rPr>
        <w:t>telefone</w:t>
      </w:r>
      <w:r>
        <w:rPr>
          <w:spacing w:val="-1"/>
          <w:sz w:val="22"/>
          <w:szCs w:val="22"/>
        </w:rPr>
        <w:t xml:space="preserve"> </w:t>
      </w:r>
      <w:r>
        <w:rPr>
          <w:sz w:val="22"/>
          <w:szCs w:val="22"/>
        </w:rPr>
        <w:t>o</w:t>
      </w:r>
      <w:r>
        <w:rPr>
          <w:spacing w:val="-1"/>
          <w:sz w:val="22"/>
          <w:szCs w:val="22"/>
        </w:rPr>
        <w:t xml:space="preserve"> </w:t>
      </w:r>
      <w:r>
        <w:rPr>
          <w:sz w:val="22"/>
          <w:szCs w:val="22"/>
        </w:rPr>
        <w:t>envio</w:t>
      </w:r>
      <w:r>
        <w:rPr>
          <w:spacing w:val="-2"/>
          <w:sz w:val="22"/>
          <w:szCs w:val="22"/>
        </w:rPr>
        <w:t xml:space="preserve"> </w:t>
      </w:r>
      <w:r>
        <w:rPr>
          <w:sz w:val="22"/>
          <w:szCs w:val="22"/>
        </w:rPr>
        <w:t>dos</w:t>
      </w:r>
      <w:r>
        <w:rPr>
          <w:spacing w:val="-1"/>
          <w:sz w:val="22"/>
          <w:szCs w:val="22"/>
        </w:rPr>
        <w:t xml:space="preserve"> </w:t>
      </w:r>
      <w:r>
        <w:rPr>
          <w:sz w:val="22"/>
          <w:szCs w:val="22"/>
        </w:rPr>
        <w:t>mesmos</w:t>
      </w:r>
      <w:r>
        <w:rPr>
          <w:b/>
          <w:bCs/>
          <w:sz w:val="22"/>
          <w:u w:val="single"/>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rPr>
          <w:rFonts w:hint="default"/>
          <w:b w:val="0"/>
          <w:bCs w:val="0"/>
          <w:color w:val="000000"/>
          <w:sz w:val="22"/>
          <w:szCs w:val="22"/>
          <w:lang w:val="pt-BR"/>
        </w:rPr>
      </w:pPr>
      <w:r>
        <w:rPr>
          <w:b/>
          <w:bCs/>
          <w:color w:val="000000"/>
          <w:sz w:val="22"/>
          <w:szCs w:val="22"/>
        </w:rPr>
        <w:t xml:space="preserve">19.11 – </w:t>
      </w:r>
      <w:r>
        <w:rPr>
          <w:b w:val="0"/>
          <w:bCs w:val="0"/>
          <w:color w:val="000000"/>
          <w:sz w:val="22"/>
          <w:szCs w:val="22"/>
        </w:rPr>
        <w:t xml:space="preserve">A </w:t>
      </w:r>
      <w:r>
        <w:rPr>
          <w:b/>
          <w:bCs/>
          <w:color w:val="000000"/>
          <w:sz w:val="22"/>
          <w:szCs w:val="22"/>
          <w:u w:val="single"/>
        </w:rPr>
        <w:t>cópia completa</w:t>
      </w:r>
      <w:r>
        <w:rPr>
          <w:b w:val="0"/>
          <w:bCs w:val="0"/>
          <w:color w:val="000000"/>
          <w:sz w:val="22"/>
          <w:szCs w:val="22"/>
        </w:rPr>
        <w:t xml:space="preserve"> deste edital poderá ser retirada no site</w:t>
      </w:r>
      <w:r>
        <w:rPr>
          <w:b w:val="0"/>
          <w:bCs w:val="0"/>
          <w:color w:val="0000FF"/>
          <w:sz w:val="22"/>
          <w:szCs w:val="22"/>
        </w:rPr>
        <w:t xml:space="preserve"> </w:t>
      </w:r>
      <w:r>
        <w:fldChar w:fldCharType="begin"/>
      </w:r>
      <w:r>
        <w:instrText xml:space="preserve"> HYPERLINK "http://www.navirai.ms.gov.br/" \h </w:instrText>
      </w:r>
      <w:r>
        <w:fldChar w:fldCharType="separate"/>
      </w:r>
      <w:r>
        <w:rPr>
          <w:b w:val="0"/>
          <w:bCs w:val="0"/>
          <w:color w:val="0000FF"/>
          <w:sz w:val="22"/>
          <w:szCs w:val="22"/>
          <w:u w:val="single" w:color="0000FF"/>
        </w:rPr>
        <w:t>www.navirai.ms.gov.br</w:t>
      </w:r>
      <w:r>
        <w:rPr>
          <w:b w:val="0"/>
          <w:bCs w:val="0"/>
          <w:color w:val="0000FF"/>
          <w:sz w:val="22"/>
          <w:szCs w:val="22"/>
        </w:rPr>
        <w:t xml:space="preserve"> </w:t>
      </w:r>
      <w:r>
        <w:rPr>
          <w:b w:val="0"/>
          <w:bCs w:val="0"/>
          <w:color w:val="0000FF"/>
          <w:sz w:val="22"/>
          <w:szCs w:val="22"/>
        </w:rPr>
        <w:fldChar w:fldCharType="end"/>
      </w:r>
      <w:r>
        <w:rPr>
          <w:b w:val="0"/>
          <w:bCs w:val="0"/>
          <w:color w:val="000000"/>
          <w:sz w:val="22"/>
          <w:szCs w:val="22"/>
        </w:rPr>
        <w:t>ou por meio da</w:t>
      </w:r>
      <w:r>
        <w:rPr>
          <w:b w:val="0"/>
          <w:bCs w:val="0"/>
          <w:color w:val="000000"/>
          <w:spacing w:val="1"/>
          <w:sz w:val="22"/>
          <w:szCs w:val="22"/>
        </w:rPr>
        <w:t xml:space="preserve"> </w:t>
      </w:r>
      <w:r>
        <w:rPr>
          <w:b w:val="0"/>
          <w:bCs w:val="0"/>
          <w:color w:val="000000"/>
          <w:sz w:val="22"/>
          <w:szCs w:val="22"/>
        </w:rPr>
        <w:t>vista do processo no Núcleo de Licitações e Contratos, Localizado no Paço Municipal, Sito Avenida</w:t>
      </w:r>
      <w:r>
        <w:rPr>
          <w:b w:val="0"/>
          <w:bCs w:val="0"/>
          <w:color w:val="000000"/>
          <w:spacing w:val="1"/>
          <w:sz w:val="22"/>
          <w:szCs w:val="22"/>
        </w:rPr>
        <w:t xml:space="preserve"> </w:t>
      </w:r>
      <w:r>
        <w:rPr>
          <w:b w:val="0"/>
          <w:bCs w:val="0"/>
          <w:color w:val="000000"/>
          <w:sz w:val="22"/>
          <w:szCs w:val="22"/>
        </w:rPr>
        <w:t>Weimar Gonçalves Torres, 862</w:t>
      </w:r>
      <w:r>
        <w:rPr>
          <w:b w:val="0"/>
          <w:bCs w:val="0"/>
          <w:color w:val="000000"/>
          <w:spacing w:val="-3"/>
          <w:sz w:val="22"/>
          <w:szCs w:val="22"/>
        </w:rPr>
        <w:t xml:space="preserve"> </w:t>
      </w:r>
      <w:r>
        <w:rPr>
          <w:b w:val="0"/>
          <w:bCs w:val="0"/>
          <w:color w:val="000000"/>
          <w:sz w:val="22"/>
          <w:szCs w:val="22"/>
        </w:rPr>
        <w:t>-</w:t>
      </w:r>
      <w:r>
        <w:rPr>
          <w:b w:val="0"/>
          <w:bCs w:val="0"/>
          <w:color w:val="000000"/>
          <w:spacing w:val="-2"/>
          <w:sz w:val="22"/>
          <w:szCs w:val="22"/>
        </w:rPr>
        <w:t xml:space="preserve"> </w:t>
      </w:r>
      <w:r>
        <w:rPr>
          <w:b w:val="0"/>
          <w:bCs w:val="0"/>
          <w:color w:val="000000"/>
          <w:sz w:val="22"/>
          <w:szCs w:val="22"/>
        </w:rPr>
        <w:t>Centro.</w:t>
      </w:r>
      <w:r>
        <w:rPr>
          <w:rFonts w:hint="default"/>
          <w:b w:val="0"/>
          <w:bCs w:val="0"/>
          <w:color w:val="000000"/>
          <w:sz w:val="22"/>
          <w:szCs w:val="22"/>
          <w:lang w:val="pt-BR"/>
        </w:rPr>
        <w:t xml:space="preserve"> </w:t>
      </w:r>
    </w:p>
    <w:p>
      <w:pPr>
        <w:tabs>
          <w:tab w:val="left" w:pos="-1800"/>
        </w:tabs>
        <w:jc w:val="both"/>
      </w:pPr>
      <w:r>
        <w:rPr>
          <w:rFonts w:hint="default"/>
          <w:b/>
          <w:bCs/>
          <w:color w:val="000000"/>
          <w:sz w:val="22"/>
          <w:szCs w:val="22"/>
          <w:lang w:val="pt-BR"/>
        </w:rPr>
        <w:t>a)</w:t>
      </w:r>
      <w:r>
        <w:rPr>
          <w:rFonts w:hint="default"/>
          <w:b w:val="0"/>
          <w:bCs w:val="0"/>
          <w:color w:val="000000"/>
          <w:sz w:val="22"/>
          <w:szCs w:val="22"/>
          <w:lang w:val="pt-BR"/>
        </w:rPr>
        <w:t xml:space="preserve"> Caso a empresa deseje retirar o edital impresso, deverá efetuar o pagamento de </w:t>
      </w:r>
      <w:r>
        <w:rPr>
          <w:rFonts w:hint="default"/>
          <w:b/>
          <w:bCs/>
          <w:color w:val="000000"/>
          <w:sz w:val="22"/>
          <w:szCs w:val="22"/>
          <w:lang w:val="pt-BR"/>
        </w:rPr>
        <w:t>R$ 0,25 (vinte e cinco centavos)</w:t>
      </w:r>
      <w:r>
        <w:rPr>
          <w:rFonts w:hint="default"/>
          <w:b w:val="0"/>
          <w:bCs w:val="0"/>
          <w:color w:val="000000"/>
          <w:sz w:val="22"/>
          <w:szCs w:val="22"/>
          <w:lang w:val="pt-BR"/>
        </w:rPr>
        <w:t xml:space="preserve"> por página em preto e branco, 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4"/>
          <w:szCs w:val="24"/>
        </w:rPr>
        <w:t>Anexo IX - Ficha De Cadastro De Representante;</w:t>
      </w:r>
    </w:p>
    <w:p>
      <w:pPr>
        <w:tabs>
          <w:tab w:val="left" w:pos="-1800"/>
        </w:tabs>
        <w:jc w:val="both"/>
        <w:rPr>
          <w:color w:val="000000"/>
          <w:sz w:val="22"/>
          <w:szCs w:val="22"/>
        </w:rPr>
      </w:pPr>
    </w:p>
    <w:p>
      <w:pPr>
        <w:tabs>
          <w:tab w:val="left" w:pos="-1800"/>
        </w:tabs>
        <w:jc w:val="both"/>
        <w:rPr>
          <w:sz w:val="22"/>
          <w:szCs w:val="22"/>
        </w:rPr>
      </w:pPr>
    </w:p>
    <w:p>
      <w:pPr>
        <w:tabs>
          <w:tab w:val="left" w:pos="-1800"/>
        </w:tabs>
        <w:jc w:val="both"/>
      </w:pPr>
      <w:r>
        <w:rPr>
          <w:sz w:val="22"/>
          <w:szCs w:val="22"/>
        </w:rPr>
        <w:t>Eu, Jaqueline Maria Garcia Mascioli, Servidora Pública Municipal, digitei-o presente edital</w:t>
      </w:r>
      <w:r>
        <w:rPr>
          <w:rFonts w:hint="default"/>
          <w:sz w:val="22"/>
          <w:szCs w:val="22"/>
          <w:lang w:val="pt-BR"/>
        </w:rPr>
        <w:t xml:space="preserve"> com autorização da ordenadora de despesas</w:t>
      </w:r>
      <w:r>
        <w:rPr>
          <w:sz w:val="22"/>
          <w:szCs w:val="22"/>
        </w:rPr>
        <w:t xml:space="preserve">, e eu, </w:t>
      </w:r>
      <w:r>
        <w:rPr>
          <w:sz w:val="22"/>
          <w:szCs w:val="22"/>
          <w:lang w:val="pt-BR"/>
        </w:rPr>
        <w:t>Nayara Izabela Arteman Pereira da Silva</w:t>
      </w:r>
      <w:r>
        <w:rPr>
          <w:sz w:val="22"/>
          <w:szCs w:val="22"/>
        </w:rPr>
        <w:t>, Gerente d</w:t>
      </w:r>
      <w:r>
        <w:rPr>
          <w:sz w:val="22"/>
          <w:szCs w:val="22"/>
          <w:lang w:val="pt-BR"/>
        </w:rPr>
        <w:t>o</w:t>
      </w:r>
      <w:r>
        <w:rPr>
          <w:sz w:val="22"/>
          <w:szCs w:val="22"/>
        </w:rPr>
        <w:t xml:space="preserve"> </w:t>
      </w:r>
      <w:r>
        <w:rPr>
          <w:sz w:val="22"/>
          <w:szCs w:val="22"/>
          <w:lang w:val="pt-BR"/>
        </w:rPr>
        <w:t>Núcleo de Licitações e Contratos</w:t>
      </w:r>
      <w:r>
        <w:rPr>
          <w:sz w:val="22"/>
          <w:szCs w:val="22"/>
        </w:rPr>
        <w:t xml:space="preserve"> conforme </w:t>
      </w:r>
      <w:r>
        <w:rPr>
          <w:sz w:val="22"/>
          <w:szCs w:val="22"/>
          <w:lang w:val="pt-BR"/>
        </w:rPr>
        <w:t>Portaria</w:t>
      </w:r>
      <w:r>
        <w:rPr>
          <w:sz w:val="22"/>
          <w:szCs w:val="22"/>
        </w:rPr>
        <w:t xml:space="preserve"> nº. 0</w:t>
      </w:r>
      <w:r>
        <w:rPr>
          <w:sz w:val="22"/>
          <w:szCs w:val="22"/>
          <w:lang w:val="pt-BR"/>
        </w:rPr>
        <w:t>67</w:t>
      </w:r>
      <w:r>
        <w:rPr>
          <w:sz w:val="22"/>
          <w:szCs w:val="22"/>
        </w:rPr>
        <w:t>/2023, conferi-o e a subscrevi.</w:t>
      </w:r>
    </w:p>
    <w:p>
      <w:pPr>
        <w:tabs>
          <w:tab w:val="left" w:pos="-1800"/>
        </w:tabs>
        <w:jc w:val="both"/>
        <w:rPr>
          <w:sz w:val="22"/>
          <w:szCs w:val="22"/>
        </w:rPr>
      </w:pPr>
    </w:p>
    <w:p>
      <w:pPr>
        <w:tabs>
          <w:tab w:val="left" w:pos="-1800"/>
        </w:tabs>
        <w:jc w:val="center"/>
        <w:rPr>
          <w:b/>
          <w:bCs/>
          <w:color w:val="000000"/>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ind w:left="0" w:right="0" w:firstLine="2835"/>
        <w:rPr>
          <w:b/>
          <w:bCs/>
          <w:color w:val="000000"/>
          <w:sz w:val="22"/>
          <w:szCs w:val="22"/>
        </w:rPr>
      </w:pPr>
    </w:p>
    <w:p>
      <w:pPr>
        <w:tabs>
          <w:tab w:val="left" w:pos="-1800"/>
        </w:tabs>
        <w:jc w:val="right"/>
        <w:rPr>
          <w:b/>
          <w:color w:val="000000"/>
          <w:sz w:val="22"/>
          <w:szCs w:val="22"/>
        </w:rPr>
      </w:pPr>
    </w:p>
    <w:p>
      <w:pPr>
        <w:tabs>
          <w:tab w:val="left" w:pos="-1800"/>
        </w:tabs>
        <w:jc w:val="right"/>
      </w:pPr>
      <w:r>
        <w:rPr>
          <w:sz w:val="22"/>
          <w:szCs w:val="22"/>
        </w:rPr>
        <w:t xml:space="preserve">Naviraí - MS, </w:t>
      </w:r>
      <w:r>
        <w:rPr>
          <w:rFonts w:hint="default"/>
          <w:sz w:val="22"/>
          <w:szCs w:val="22"/>
          <w:lang w:val="pt-BR"/>
        </w:rPr>
        <w:t>18</w:t>
      </w:r>
      <w:r>
        <w:rPr>
          <w:sz w:val="22"/>
          <w:szCs w:val="22"/>
        </w:rPr>
        <w:t xml:space="preserve"> de </w:t>
      </w:r>
      <w:r>
        <w:rPr>
          <w:rFonts w:hint="default"/>
          <w:sz w:val="22"/>
          <w:szCs w:val="22"/>
          <w:lang w:val="pt-BR"/>
        </w:rPr>
        <w:t>setembro</w:t>
      </w:r>
      <w:r>
        <w:rPr>
          <w:sz w:val="22"/>
          <w:szCs w:val="22"/>
        </w:rPr>
        <w:t xml:space="preserve"> de 2023</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rFonts w:ascii="Times New Roman" w:hAnsi="Times New Roman"/>
          <w:sz w:val="22"/>
          <w:szCs w:val="22"/>
        </w:rPr>
      </w:pPr>
      <w:r>
        <w:rPr>
          <w:b/>
          <w:bCs/>
          <w:color w:val="000000"/>
          <w:sz w:val="22"/>
          <w:szCs w:val="22"/>
        </w:rPr>
        <w:t>Nayara Izabela Arteman Pereira da Silva</w:t>
      </w:r>
    </w:p>
    <w:p>
      <w:pPr>
        <w:tabs>
          <w:tab w:val="left" w:pos="-1800"/>
        </w:tabs>
        <w:jc w:val="center"/>
        <w:rPr>
          <w:rFonts w:ascii="Times New Roman" w:hAnsi="Times New Roman"/>
          <w:sz w:val="22"/>
          <w:szCs w:val="22"/>
        </w:rPr>
      </w:pPr>
      <w:r>
        <w:rPr>
          <w:color w:val="000000"/>
          <w:sz w:val="22"/>
          <w:szCs w:val="22"/>
        </w:rPr>
        <w:t>Gerente do Núcleo de Licitações e Contratos</w:t>
      </w:r>
    </w:p>
    <w:p>
      <w:pPr>
        <w:tabs>
          <w:tab w:val="left" w:pos="-1800"/>
        </w:tabs>
        <w:jc w:val="center"/>
        <w:rPr>
          <w:color w:val="000000"/>
          <w:sz w:val="22"/>
          <w:szCs w:val="22"/>
        </w:rPr>
      </w:pPr>
      <w:r>
        <w:rPr>
          <w:color w:val="000000"/>
          <w:sz w:val="22"/>
          <w:szCs w:val="22"/>
        </w:rPr>
        <w:t xml:space="preserve">Conforme </w:t>
      </w:r>
      <w:r>
        <w:rPr>
          <w:rFonts w:eastAsia="Times New Roman" w:cs="Times New Roman"/>
          <w:color w:val="000000"/>
          <w:sz w:val="22"/>
          <w:szCs w:val="22"/>
          <w:lang w:val="pt-BR" w:bidi="ar-SA"/>
        </w:rPr>
        <w:t>Portaria</w:t>
      </w:r>
      <w:r>
        <w:rPr>
          <w:color w:val="000000"/>
          <w:sz w:val="22"/>
          <w:szCs w:val="22"/>
        </w:rPr>
        <w:t xml:space="preserve"> nº 0</w:t>
      </w:r>
      <w:r>
        <w:rPr>
          <w:rFonts w:hint="default"/>
          <w:color w:val="000000"/>
          <w:sz w:val="22"/>
          <w:szCs w:val="22"/>
          <w:lang w:val="pt-BR"/>
        </w:rPr>
        <w:t>67</w:t>
      </w:r>
      <w:r>
        <w:rPr>
          <w:color w:val="000000"/>
          <w:sz w:val="22"/>
          <w:szCs w:val="22"/>
        </w:rPr>
        <w:t>/202</w:t>
      </w:r>
      <w:r>
        <w:rPr>
          <w:rFonts w:hint="default"/>
          <w:color w:val="000000"/>
          <w:sz w:val="22"/>
          <w:szCs w:val="22"/>
          <w:lang w:val="pt-BR"/>
        </w:rPr>
        <w:t>3</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
    <w:p/>
    <w:p/>
    <w:p/>
    <w:p/>
    <w:p/>
    <w:p/>
    <w:p/>
    <w:p/>
    <w:p/>
    <w:p/>
    <w:p/>
    <w:p/>
    <w:p/>
    <w:p/>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p>
    <w:p>
      <w:pPr>
        <w:pStyle w:val="7"/>
      </w:pPr>
      <w:r>
        <w:rPr>
          <w:rFonts w:ascii="Times New Roman" w:hAnsi="Times New Roman" w:cs="Times New Roman"/>
          <w:b/>
          <w:bCs/>
          <w:i w:val="0"/>
          <w:sz w:val="22"/>
          <w:szCs w:val="22"/>
        </w:rPr>
        <w:t>1.Objeto: CONTRATAÇÃO DE EMPRESA ESPECIALIZADA PARA PRESTAÇÃO DE SERVIÇOS TÉCNICOS PARA A REESTRUTURAÇÃO, REVISÃO E ACOMPANHAMENTO DO VALOR ADICIONADO QUE COMPÕE A BASE DE CÁLCULO DA DISTRIBUIÇÃO DO ICMS DO MUNICÍPIO DE NAVIRAÍ-MS. SOLICITAÇÃO DA GERÊNCIA DE FINANÇAS DO MUNICIPIO DE NAVIRAÍ-MS.PEDIDO DE COMPRAS  Nº 253/2023.</w:t>
      </w:r>
    </w:p>
    <w:p>
      <w:pPr>
        <w:pStyle w:val="7"/>
        <w:rPr>
          <w:rFonts w:ascii="Times New Roman" w:hAnsi="Times New Roman" w:cs="Times New Roman"/>
          <w:b/>
          <w:bCs/>
          <w:i w:val="0"/>
          <w:sz w:val="22"/>
          <w:szCs w:val="22"/>
        </w:rPr>
      </w:pPr>
    </w:p>
    <w:p>
      <w:pPr>
        <w:numPr>
          <w:ilvl w:val="0"/>
          <w:numId w:val="6"/>
        </w:numPr>
        <w:rPr>
          <w:rFonts w:hint="default"/>
          <w:b/>
          <w:bCs/>
          <w:lang w:val="pt-BR"/>
        </w:rPr>
      </w:pPr>
      <w:r>
        <w:rPr>
          <w:rFonts w:hint="default"/>
          <w:b/>
          <w:bCs/>
          <w:lang w:val="pt-BR"/>
        </w:rPr>
        <w:t>CONDIÇÕES DA AQUISIÇÃO</w:t>
      </w:r>
    </w:p>
    <w:p>
      <w:pPr>
        <w:numPr>
          <w:ilvl w:val="0"/>
          <w:numId w:val="0"/>
        </w:numPr>
        <w:rPr>
          <w:rFonts w:hint="default"/>
          <w:b/>
          <w:bCs/>
          <w:lang w:val="pt-BR"/>
        </w:rPr>
      </w:pPr>
    </w:p>
    <w:tbl>
      <w:tblPr>
        <w:tblStyle w:val="12"/>
        <w:tblW w:w="9796" w:type="dxa"/>
        <w:tblInd w:w="-41" w:type="dxa"/>
        <w:tblLayout w:type="fixed"/>
        <w:tblCellMar>
          <w:top w:w="0" w:type="dxa"/>
          <w:left w:w="108" w:type="dxa"/>
          <w:bottom w:w="0" w:type="dxa"/>
          <w:right w:w="108" w:type="dxa"/>
        </w:tblCellMar>
      </w:tblPr>
      <w:tblGrid>
        <w:gridCol w:w="833"/>
        <w:gridCol w:w="836"/>
        <w:gridCol w:w="834"/>
        <w:gridCol w:w="698"/>
        <w:gridCol w:w="6595"/>
      </w:tblGrid>
      <w:tr>
        <w:tblPrEx>
          <w:tblCellMar>
            <w:top w:w="0" w:type="dxa"/>
            <w:left w:w="108" w:type="dxa"/>
            <w:bottom w:w="0" w:type="dxa"/>
            <w:right w:w="108" w:type="dxa"/>
          </w:tblCellMar>
        </w:tblPrEx>
        <w:trPr>
          <w:trHeight w:val="364" w:hRule="atLeast"/>
        </w:trPr>
        <w:tc>
          <w:tcPr>
            <w:tcW w:w="833"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ITEM</w:t>
            </w:r>
          </w:p>
        </w:tc>
        <w:tc>
          <w:tcPr>
            <w:tcW w:w="836"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CÓD ITEM</w:t>
            </w:r>
          </w:p>
        </w:tc>
        <w:tc>
          <w:tcPr>
            <w:tcW w:w="834"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QT</w:t>
            </w:r>
          </w:p>
        </w:tc>
        <w:tc>
          <w:tcPr>
            <w:tcW w:w="698"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widowControl w:val="0"/>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3"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w:t>
            </w:r>
          </w:p>
        </w:tc>
        <w:tc>
          <w:tcPr>
            <w:tcW w:w="836" w:type="dxa"/>
            <w:tcBorders>
              <w:top w:val="single" w:color="000000" w:sz="4" w:space="0"/>
              <w:left w:val="single" w:color="000000" w:sz="6" w:space="0"/>
              <w:bottom w:val="single" w:color="000000" w:sz="4" w:space="0"/>
            </w:tcBorders>
          </w:tcPr>
          <w:p>
            <w:pPr>
              <w:widowControl w:val="0"/>
              <w:spacing w:line="276" w:lineRule="auto"/>
              <w:jc w:val="center"/>
              <w:rPr>
                <w:b/>
                <w:sz w:val="22"/>
                <w:szCs w:val="22"/>
              </w:rPr>
            </w:pPr>
            <w:r>
              <w:rPr>
                <w:b/>
                <w:sz w:val="22"/>
                <w:szCs w:val="22"/>
              </w:rPr>
              <w:t>22105</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1,0</w:t>
            </w:r>
          </w:p>
        </w:tc>
        <w:tc>
          <w:tcPr>
            <w:tcW w:w="698"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SRV</w:t>
            </w:r>
          </w:p>
        </w:tc>
        <w:tc>
          <w:tcPr>
            <w:tcW w:w="6595"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SERVIÇOS TÉCNICOS ESPECIALIZADOS CONFORME TERMO DE REFERÊNCIA.</w:t>
            </w:r>
          </w:p>
        </w:tc>
      </w:tr>
    </w:tbl>
    <w:p>
      <w:pPr>
        <w:pStyle w:val="7"/>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lang w:val="pt-BR"/>
        </w:rPr>
      </w:pPr>
      <w:r>
        <w:drawing>
          <wp:inline distT="0" distB="0" distL="114300" distR="114300">
            <wp:extent cx="5601335" cy="3107690"/>
            <wp:effectExtent l="0" t="0" r="18415" b="1651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7"/>
                    <a:stretch>
                      <a:fillRect/>
                    </a:stretch>
                  </pic:blipFill>
                  <pic:spPr>
                    <a:xfrm>
                      <a:off x="0" y="0"/>
                      <a:ext cx="5601335" cy="3107690"/>
                    </a:xfrm>
                    <a:prstGeom prst="rect">
                      <a:avLst/>
                    </a:prstGeom>
                    <a:noFill/>
                    <a:ln>
                      <a:noFill/>
                    </a:ln>
                  </pic:spPr>
                </pic:pic>
              </a:graphicData>
            </a:graphic>
          </wp:inline>
        </w:drawing>
      </w:r>
    </w:p>
    <w:p>
      <w:pPr>
        <w:rPr>
          <w:rFonts w:ascii="Times New Roman" w:hAnsi="Times New Roman" w:cs="Times New Roman"/>
          <w:b/>
          <w:bCs/>
          <w:i/>
          <w:sz w:val="22"/>
          <w:szCs w:val="22"/>
          <w:lang w:val="pt-BR"/>
        </w:rPr>
      </w:pPr>
    </w:p>
    <w:p>
      <w:r>
        <w:drawing>
          <wp:inline distT="0" distB="0" distL="114300" distR="114300">
            <wp:extent cx="5969000" cy="2066290"/>
            <wp:effectExtent l="0" t="0" r="12700" b="1016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8"/>
                    <a:stretch>
                      <a:fillRect/>
                    </a:stretch>
                  </pic:blipFill>
                  <pic:spPr>
                    <a:xfrm>
                      <a:off x="0" y="0"/>
                      <a:ext cx="5969000" cy="2066290"/>
                    </a:xfrm>
                    <a:prstGeom prst="rect">
                      <a:avLst/>
                    </a:prstGeom>
                    <a:noFill/>
                    <a:ln>
                      <a:noFill/>
                    </a:ln>
                  </pic:spPr>
                </pic:pic>
              </a:graphicData>
            </a:graphic>
          </wp:inline>
        </w:drawing>
      </w:r>
    </w:p>
    <w:p/>
    <w:p/>
    <w:p/>
    <w:p>
      <w:r>
        <w:drawing>
          <wp:inline distT="0" distB="0" distL="114300" distR="114300">
            <wp:extent cx="5951855" cy="5297805"/>
            <wp:effectExtent l="0" t="0" r="10795" b="1714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9"/>
                    <a:stretch>
                      <a:fillRect/>
                    </a:stretch>
                  </pic:blipFill>
                  <pic:spPr>
                    <a:xfrm>
                      <a:off x="0" y="0"/>
                      <a:ext cx="5951855" cy="5297805"/>
                    </a:xfrm>
                    <a:prstGeom prst="rect">
                      <a:avLst/>
                    </a:prstGeom>
                    <a:noFill/>
                    <a:ln>
                      <a:noFill/>
                    </a:ln>
                  </pic:spPr>
                </pic:pic>
              </a:graphicData>
            </a:graphic>
          </wp:inline>
        </w:drawing>
      </w:r>
    </w:p>
    <w:p>
      <w:pPr>
        <w:rPr>
          <w:sz w:val="22"/>
          <w:szCs w:val="22"/>
        </w:rPr>
      </w:pPr>
    </w:p>
    <w:p>
      <w:r>
        <w:drawing>
          <wp:inline distT="0" distB="0" distL="114300" distR="114300">
            <wp:extent cx="5963285" cy="2479675"/>
            <wp:effectExtent l="0" t="0" r="18415" b="1587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0"/>
                    <a:stretch>
                      <a:fillRect/>
                    </a:stretch>
                  </pic:blipFill>
                  <pic:spPr>
                    <a:xfrm>
                      <a:off x="0" y="0"/>
                      <a:ext cx="5963285" cy="2479675"/>
                    </a:xfrm>
                    <a:prstGeom prst="rect">
                      <a:avLst/>
                    </a:prstGeom>
                    <a:noFill/>
                    <a:ln>
                      <a:noFill/>
                    </a:ln>
                  </pic:spPr>
                </pic:pic>
              </a:graphicData>
            </a:graphic>
          </wp:inline>
        </w:drawing>
      </w:r>
    </w:p>
    <w:p/>
    <w:p/>
    <w:p/>
    <w:p/>
    <w:p/>
    <w:p>
      <w:r>
        <w:drawing>
          <wp:inline distT="0" distB="0" distL="114300" distR="114300">
            <wp:extent cx="5961380" cy="5447665"/>
            <wp:effectExtent l="0" t="0" r="1270" b="63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1"/>
                    <a:stretch>
                      <a:fillRect/>
                    </a:stretch>
                  </pic:blipFill>
                  <pic:spPr>
                    <a:xfrm>
                      <a:off x="0" y="0"/>
                      <a:ext cx="5961380" cy="5447665"/>
                    </a:xfrm>
                    <a:prstGeom prst="rect">
                      <a:avLst/>
                    </a:prstGeom>
                    <a:noFill/>
                    <a:ln>
                      <a:noFill/>
                    </a:ln>
                  </pic:spPr>
                </pic:pic>
              </a:graphicData>
            </a:graphic>
          </wp:inline>
        </w:drawing>
      </w:r>
    </w:p>
    <w:p>
      <w:pPr>
        <w:rPr>
          <w:sz w:val="22"/>
          <w:szCs w:val="22"/>
        </w:rPr>
      </w:pPr>
      <w:r>
        <w:drawing>
          <wp:inline distT="0" distB="0" distL="114300" distR="114300">
            <wp:extent cx="5969000" cy="1931670"/>
            <wp:effectExtent l="0" t="0" r="12700" b="1143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2"/>
                    <a:stretch>
                      <a:fillRect/>
                    </a:stretch>
                  </pic:blipFill>
                  <pic:spPr>
                    <a:xfrm>
                      <a:off x="0" y="0"/>
                      <a:ext cx="5969000" cy="1931670"/>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r>
        <w:drawing>
          <wp:inline distT="0" distB="0" distL="114300" distR="114300">
            <wp:extent cx="5960745" cy="5467985"/>
            <wp:effectExtent l="0" t="0" r="1905" b="18415"/>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3"/>
                    <a:stretch>
                      <a:fillRect/>
                    </a:stretch>
                  </pic:blipFill>
                  <pic:spPr>
                    <a:xfrm>
                      <a:off x="0" y="0"/>
                      <a:ext cx="5960745" cy="5467985"/>
                    </a:xfrm>
                    <a:prstGeom prst="rect">
                      <a:avLst/>
                    </a:prstGeom>
                    <a:noFill/>
                    <a:ln>
                      <a:noFill/>
                    </a:ln>
                  </pic:spPr>
                </pic:pic>
              </a:graphicData>
            </a:graphic>
          </wp:inline>
        </w:drawing>
      </w:r>
    </w:p>
    <w:p>
      <w:pPr>
        <w:rPr>
          <w:sz w:val="22"/>
          <w:szCs w:val="22"/>
        </w:rPr>
      </w:pPr>
    </w:p>
    <w:p>
      <w:pPr>
        <w:rPr>
          <w:sz w:val="22"/>
          <w:szCs w:val="22"/>
        </w:rPr>
      </w:pPr>
    </w:p>
    <w:p>
      <w:pPr>
        <w:rPr>
          <w:sz w:val="22"/>
          <w:szCs w:val="22"/>
        </w:rPr>
      </w:pPr>
      <w:r>
        <w:drawing>
          <wp:inline distT="0" distB="0" distL="114300" distR="114300">
            <wp:extent cx="5879465" cy="1236980"/>
            <wp:effectExtent l="0" t="0" r="6985" b="127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14"/>
                    <a:stretch>
                      <a:fillRect/>
                    </a:stretch>
                  </pic:blipFill>
                  <pic:spPr>
                    <a:xfrm>
                      <a:off x="0" y="0"/>
                      <a:ext cx="5879465" cy="1236980"/>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r>
        <w:drawing>
          <wp:inline distT="0" distB="0" distL="114300" distR="114300">
            <wp:extent cx="5958840" cy="6322060"/>
            <wp:effectExtent l="0" t="0" r="3810" b="2540"/>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pic:cNvPicPr>
                      <a:picLocks noChangeAspect="1"/>
                    </pic:cNvPicPr>
                  </pic:nvPicPr>
                  <pic:blipFill>
                    <a:blip r:embed="rId15"/>
                    <a:stretch>
                      <a:fillRect/>
                    </a:stretch>
                  </pic:blipFill>
                  <pic:spPr>
                    <a:xfrm>
                      <a:off x="0" y="0"/>
                      <a:ext cx="5958840" cy="6322060"/>
                    </a:xfrm>
                    <a:prstGeom prst="rect">
                      <a:avLst/>
                    </a:prstGeom>
                    <a:noFill/>
                    <a:ln>
                      <a:noFill/>
                    </a:ln>
                  </pic:spPr>
                </pic:pic>
              </a:graphicData>
            </a:graphic>
          </wp:inline>
        </w:drawing>
      </w:r>
    </w:p>
    <w:p/>
    <w:p>
      <w:r>
        <w:drawing>
          <wp:inline distT="0" distB="0" distL="114300" distR="114300">
            <wp:extent cx="5954395" cy="1209675"/>
            <wp:effectExtent l="0" t="0" r="8255" b="9525"/>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16"/>
                    <a:stretch>
                      <a:fillRect/>
                    </a:stretch>
                  </pic:blipFill>
                  <pic:spPr>
                    <a:xfrm>
                      <a:off x="0" y="0"/>
                      <a:ext cx="5954395" cy="1209675"/>
                    </a:xfrm>
                    <a:prstGeom prst="rect">
                      <a:avLst/>
                    </a:prstGeom>
                    <a:noFill/>
                    <a:ln>
                      <a:noFill/>
                    </a:ln>
                  </pic:spPr>
                </pic:pic>
              </a:graphicData>
            </a:graphic>
          </wp:inline>
        </w:drawing>
      </w:r>
    </w:p>
    <w:p/>
    <w:p/>
    <w:p/>
    <w:p/>
    <w:p/>
    <w:p/>
    <w:p/>
    <w:p>
      <w:r>
        <w:drawing>
          <wp:inline distT="0" distB="0" distL="114300" distR="114300">
            <wp:extent cx="5963285" cy="6581140"/>
            <wp:effectExtent l="0" t="0" r="18415" b="10160"/>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pic:cNvPicPr>
                      <a:picLocks noChangeAspect="1"/>
                    </pic:cNvPicPr>
                  </pic:nvPicPr>
                  <pic:blipFill>
                    <a:blip r:embed="rId17"/>
                    <a:stretch>
                      <a:fillRect/>
                    </a:stretch>
                  </pic:blipFill>
                  <pic:spPr>
                    <a:xfrm>
                      <a:off x="0" y="0"/>
                      <a:ext cx="5963285" cy="6581140"/>
                    </a:xfrm>
                    <a:prstGeom prst="rect">
                      <a:avLst/>
                    </a:prstGeom>
                    <a:noFill/>
                    <a:ln>
                      <a:noFill/>
                    </a:ln>
                  </pic:spPr>
                </pic:pic>
              </a:graphicData>
            </a:graphic>
          </wp:inline>
        </w:drawing>
      </w:r>
    </w:p>
    <w:p/>
    <w:p/>
    <w:p/>
    <w:p/>
    <w:p/>
    <w:p>
      <w:r>
        <w:drawing>
          <wp:inline distT="0" distB="0" distL="114300" distR="114300">
            <wp:extent cx="5969000" cy="7885430"/>
            <wp:effectExtent l="0" t="0" r="12700" b="1270"/>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2"/>
                    <pic:cNvPicPr>
                      <a:picLocks noChangeAspect="1"/>
                    </pic:cNvPicPr>
                  </pic:nvPicPr>
                  <pic:blipFill>
                    <a:blip r:embed="rId18"/>
                    <a:stretch>
                      <a:fillRect/>
                    </a:stretch>
                  </pic:blipFill>
                  <pic:spPr>
                    <a:xfrm>
                      <a:off x="0" y="0"/>
                      <a:ext cx="5969000" cy="7885430"/>
                    </a:xfrm>
                    <a:prstGeom prst="rect">
                      <a:avLst/>
                    </a:prstGeom>
                    <a:noFill/>
                    <a:ln>
                      <a:noFill/>
                    </a:ln>
                  </pic:spPr>
                </pic:pic>
              </a:graphicData>
            </a:graphic>
          </wp:inline>
        </w:drawing>
      </w:r>
    </w:p>
    <w:p/>
    <w:p>
      <w:r>
        <w:drawing>
          <wp:inline distT="0" distB="0" distL="114300" distR="114300">
            <wp:extent cx="5956935" cy="7922895"/>
            <wp:effectExtent l="0" t="0" r="5715" b="1905"/>
            <wp:docPr id="1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3"/>
                    <pic:cNvPicPr>
                      <a:picLocks noChangeAspect="1"/>
                    </pic:cNvPicPr>
                  </pic:nvPicPr>
                  <pic:blipFill>
                    <a:blip r:embed="rId19"/>
                    <a:stretch>
                      <a:fillRect/>
                    </a:stretch>
                  </pic:blipFill>
                  <pic:spPr>
                    <a:xfrm>
                      <a:off x="0" y="0"/>
                      <a:ext cx="5956935" cy="7922895"/>
                    </a:xfrm>
                    <a:prstGeom prst="rect">
                      <a:avLst/>
                    </a:prstGeom>
                    <a:noFill/>
                    <a:ln>
                      <a:noFill/>
                    </a:ln>
                  </pic:spPr>
                </pic:pic>
              </a:graphicData>
            </a:graphic>
          </wp:inline>
        </w:drawing>
      </w:r>
    </w:p>
    <w:p/>
    <w:p/>
    <w:p>
      <w:r>
        <w:drawing>
          <wp:inline distT="0" distB="0" distL="114300" distR="114300">
            <wp:extent cx="5965825" cy="7327900"/>
            <wp:effectExtent l="0" t="0" r="15875" b="6350"/>
            <wp:docPr id="1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4"/>
                    <pic:cNvPicPr>
                      <a:picLocks noChangeAspect="1"/>
                    </pic:cNvPicPr>
                  </pic:nvPicPr>
                  <pic:blipFill>
                    <a:blip r:embed="rId20"/>
                    <a:stretch>
                      <a:fillRect/>
                    </a:stretch>
                  </pic:blipFill>
                  <pic:spPr>
                    <a:xfrm>
                      <a:off x="0" y="0"/>
                      <a:ext cx="5965825" cy="7327900"/>
                    </a:xfrm>
                    <a:prstGeom prst="rect">
                      <a:avLst/>
                    </a:prstGeom>
                    <a:noFill/>
                    <a:ln>
                      <a:noFill/>
                    </a:ln>
                  </pic:spPr>
                </pic:pic>
              </a:graphicData>
            </a:graphic>
          </wp:inline>
        </w:drawing>
      </w:r>
    </w:p>
    <w:p/>
    <w:p/>
    <w:p/>
    <w:p/>
    <w:p/>
    <w:p/>
    <w:p/>
    <w:p/>
    <w:p/>
    <w:p>
      <w:pPr>
        <w:pStyle w:val="7"/>
        <w:jc w:val="center"/>
        <w:rPr>
          <w:rFonts w:ascii="Times New Roman" w:hAnsi="Times New Roman" w:cs="Times New Roman"/>
          <w:b/>
          <w:bCs/>
          <w:i w:val="0"/>
          <w:sz w:val="22"/>
          <w:szCs w:val="22"/>
        </w:rPr>
        <w:sectPr>
          <w:headerReference r:id="rId4" w:type="default"/>
          <w:footerReference r:id="rId5"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4"/>
        <w:spacing w:line="240" w:lineRule="auto"/>
        <w:rPr>
          <w:sz w:val="22"/>
          <w:szCs w:val="22"/>
          <w:lang w:val="pt-BR"/>
        </w:rPr>
      </w:pPr>
      <w:r>
        <w:rPr>
          <w:sz w:val="22"/>
          <w:szCs w:val="22"/>
          <w:lang w:val="pt-BR"/>
        </w:rPr>
        <w:t xml:space="preserve"> </w:t>
      </w:r>
    </w:p>
    <w:tbl>
      <w:tblPr>
        <w:tblStyle w:val="12"/>
        <w:tblW w:w="14900" w:type="dxa"/>
        <w:tblInd w:w="-80" w:type="dxa"/>
        <w:tblLayout w:type="fixed"/>
        <w:tblCellMar>
          <w:top w:w="0" w:type="dxa"/>
          <w:left w:w="107" w:type="dxa"/>
          <w:bottom w:w="0" w:type="dxa"/>
          <w:right w:w="107" w:type="dxa"/>
        </w:tblCellMar>
      </w:tblPr>
      <w:tblGrid>
        <w:gridCol w:w="4112"/>
        <w:gridCol w:w="2551"/>
        <w:gridCol w:w="709"/>
        <w:gridCol w:w="3402"/>
        <w:gridCol w:w="177"/>
        <w:gridCol w:w="3948"/>
      </w:tblGrid>
      <w:tr>
        <w:tblPrEx>
          <w:tblCellMar>
            <w:top w:w="0" w:type="dxa"/>
            <w:left w:w="107" w:type="dxa"/>
            <w:bottom w:w="0" w:type="dxa"/>
            <w:right w:w="107" w:type="dxa"/>
          </w:tblCellMar>
        </w:tblPrEx>
        <w:trPr>
          <w:cantSplit/>
          <w:trHeight w:val="150" w:hRule="atLeast"/>
        </w:trPr>
        <w:tc>
          <w:tcPr>
            <w:tcW w:w="4112" w:type="dxa"/>
            <w:vMerge w:val="restart"/>
            <w:tcBorders>
              <w:top w:val="single" w:color="000000" w:sz="6" w:space="0"/>
              <w:left w:val="single" w:color="000000" w:sz="6" w:space="0"/>
              <w:bottom w:val="single" w:color="000000" w:sz="6" w:space="0"/>
            </w:tcBorders>
            <w:vAlign w:val="center"/>
          </w:tcPr>
          <w:p>
            <w:pPr>
              <w:pStyle w:val="5"/>
              <w:widowControl w:val="0"/>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TIPO DE LICITAÇÃO</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NÚMERO</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2" w:type="dxa"/>
            <w:vMerge w:val="continue"/>
            <w:tcBorders>
              <w:top w:val="single" w:color="000000" w:sz="6" w:space="0"/>
              <w:left w:val="single" w:color="000000" w:sz="6" w:space="0"/>
              <w:bottom w:val="single" w:color="000000" w:sz="6" w:space="0"/>
            </w:tcBorders>
            <w:vAlign w:val="center"/>
          </w:tcPr>
          <w:p>
            <w:pPr>
              <w:widowControl w:val="0"/>
            </w:pP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pPr>
            <w:r>
              <w:rPr>
                <w:rFonts w:eastAsia="Arial Unicode MS"/>
                <w:b/>
                <w:color w:val="FF0000"/>
                <w:sz w:val="22"/>
                <w:szCs w:val="22"/>
              </w:rPr>
              <w:t>8</w:t>
            </w:r>
            <w:r>
              <w:rPr>
                <w:rFonts w:eastAsia="Arial Unicode MS"/>
                <w:b/>
                <w:color w:val="FF0000"/>
                <w:sz w:val="22"/>
                <w:szCs w:val="22"/>
                <w:highlight w:val="none"/>
              </w:rPr>
              <w:t>9/2023</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2" w:type="dxa"/>
            <w:gridSpan w:val="3"/>
            <w:tcBorders>
              <w:left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widowControl w:val="0"/>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2" w:type="dxa"/>
            <w:gridSpan w:val="3"/>
            <w:tcBorders>
              <w:left w:val="single" w:color="000000" w:sz="6" w:space="0"/>
              <w:bottom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e-mail</w:t>
            </w:r>
          </w:p>
        </w:tc>
      </w:tr>
    </w:tbl>
    <w:p>
      <w:pPr>
        <w:pStyle w:val="174"/>
        <w:spacing w:line="240" w:lineRule="auto"/>
        <w:ind w:left="142" w:right="0" w:firstLine="0"/>
        <w:rPr>
          <w:bCs/>
          <w:sz w:val="22"/>
          <w:szCs w:val="22"/>
        </w:rPr>
      </w:pPr>
    </w:p>
    <w:tbl>
      <w:tblPr>
        <w:tblStyle w:val="12"/>
        <w:tblW w:w="14641" w:type="dxa"/>
        <w:tblInd w:w="-41" w:type="dxa"/>
        <w:tblLayout w:type="fixed"/>
        <w:tblCellMar>
          <w:top w:w="0" w:type="dxa"/>
          <w:left w:w="108" w:type="dxa"/>
          <w:bottom w:w="0" w:type="dxa"/>
          <w:right w:w="108" w:type="dxa"/>
        </w:tblCellMar>
      </w:tblPr>
      <w:tblGrid>
        <w:gridCol w:w="834"/>
        <w:gridCol w:w="834"/>
        <w:gridCol w:w="697"/>
        <w:gridCol w:w="9161"/>
        <w:gridCol w:w="1400"/>
        <w:gridCol w:w="171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widowControl w:val="0"/>
              <w:spacing w:line="276" w:lineRule="auto"/>
              <w:jc w:val="center"/>
            </w:pPr>
            <w:r>
              <w:rPr>
                <w:rFonts w:eastAsia="Times New Roman"/>
                <w:b/>
                <w:i/>
                <w:sz w:val="22"/>
                <w:szCs w:val="22"/>
              </w:rPr>
              <w:t xml:space="preserve"> </w:t>
            </w:r>
            <w:r>
              <w:rPr>
                <w:rFonts w:eastAsia="Arial Unicode MS"/>
                <w:sz w:val="22"/>
                <w:szCs w:val="22"/>
              </w:rPr>
              <w:t>ITEM</w:t>
            </w:r>
          </w:p>
        </w:tc>
        <w:tc>
          <w:tcPr>
            <w:tcW w:w="834"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UN</w:t>
            </w:r>
          </w:p>
        </w:tc>
        <w:tc>
          <w:tcPr>
            <w:tcW w:w="9161" w:type="dxa"/>
            <w:tcBorders>
              <w:top w:val="single" w:color="000000" w:sz="6" w:space="0"/>
              <w:left w:val="single" w:color="000000" w:sz="6" w:space="0"/>
            </w:tcBorders>
          </w:tcPr>
          <w:p>
            <w:pPr>
              <w:widowControl w:val="0"/>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400"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P. UNIT.</w:t>
            </w:r>
          </w:p>
        </w:tc>
        <w:tc>
          <w:tcPr>
            <w:tcW w:w="1715" w:type="dxa"/>
            <w:tcBorders>
              <w:top w:val="single" w:color="000000" w:sz="6" w:space="0"/>
              <w:left w:val="single" w:color="000000" w:sz="6" w:space="0"/>
              <w:right w:val="single" w:color="000000" w:sz="6" w:space="0"/>
            </w:tcBorders>
          </w:tcPr>
          <w:p>
            <w:pPr>
              <w:widowControl w:val="0"/>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SRV</w:t>
            </w:r>
          </w:p>
        </w:tc>
        <w:tc>
          <w:tcPr>
            <w:tcW w:w="9161" w:type="dxa"/>
            <w:tcBorders>
              <w:top w:val="single" w:color="000000" w:sz="4" w:space="0"/>
              <w:left w:val="single" w:color="000000" w:sz="6" w:space="0"/>
              <w:bottom w:val="single" w:color="000000" w:sz="4" w:space="0"/>
            </w:tcBorders>
          </w:tcPr>
          <w:p>
            <w:pPr>
              <w:widowControl w:val="0"/>
              <w:spacing w:line="276" w:lineRule="auto"/>
              <w:jc w:val="both"/>
              <w:rPr>
                <w:rFonts w:eastAsia="Arial Unicode MS"/>
                <w:sz w:val="22"/>
                <w:szCs w:val="22"/>
              </w:rPr>
            </w:pPr>
            <w:r>
              <w:rPr>
                <w:rFonts w:eastAsia="Arial Unicode MS"/>
                <w:sz w:val="22"/>
                <w:szCs w:val="22"/>
              </w:rPr>
              <w:t>SERVIÇOS TÉCNICOS ESPECIALIZADOS CONFORME TERMO DE REFERÊNCIA.</w:t>
            </w:r>
          </w:p>
          <w:p>
            <w:pPr>
              <w:widowControl w:val="0"/>
              <w:spacing w:line="276" w:lineRule="auto"/>
              <w:jc w:val="both"/>
              <w:rPr>
                <w:rFonts w:eastAsia="Arial Unicode MS"/>
                <w:sz w:val="22"/>
                <w:szCs w:val="22"/>
              </w:rPr>
            </w:pPr>
          </w:p>
        </w:tc>
        <w:tc>
          <w:tcPr>
            <w:tcW w:w="1400"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sz w:val="22"/>
                <w:szCs w:val="22"/>
              </w:rPr>
            </w:pPr>
          </w:p>
        </w:tc>
        <w:tc>
          <w:tcPr>
            <w:tcW w:w="1715" w:type="dxa"/>
            <w:tcBorders>
              <w:top w:val="single" w:color="000000" w:sz="4" w:space="0"/>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fixed"/>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widowControl w:val="0"/>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89/2023</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2023</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 xml:space="preserve">                                                                      </w:t>
      </w:r>
      <w:r>
        <w:rPr>
          <w:rFonts w:eastAsia="Times New Roman"/>
          <w:sz w:val="22"/>
          <w:szCs w:val="22"/>
        </w:rPr>
        <w:t xml:space="preserve"> </w:t>
      </w:r>
      <w:r>
        <w:rPr>
          <w:rFonts w:eastAsia="Arial Unicode MS"/>
          <w:sz w:val="22"/>
          <w:szCs w:val="22"/>
        </w:rPr>
        <w:t>CPF n°.....................................</w:t>
      </w:r>
    </w:p>
    <w:p>
      <w:pPr>
        <w:rPr>
          <w:rFonts w:eastAsia="Arial Unicode MS"/>
          <w:sz w:val="22"/>
          <w:szCs w:val="22"/>
        </w:rPr>
      </w:pPr>
    </w:p>
    <w:p>
      <w:pPr>
        <w:jc w:val="right"/>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89/2023</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3"/>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none"/>
        </w:rPr>
        <w:t xml:space="preserve">com sede a </w:t>
      </w:r>
      <w:r>
        <w:rPr>
          <w:rFonts w:hint="default" w:ascii="Times New Roman" w:hAnsi="Times New Roman" w:cs="Times New Roman" w:eastAsiaTheme="minorHAnsi"/>
          <w:kern w:val="0"/>
          <w:sz w:val="24"/>
          <w:szCs w:val="24"/>
          <w:highlight w:val="none"/>
          <w:lang w:val="en-US" w:eastAsia="zh-CN" w:bidi="ar"/>
        </w:rPr>
        <w:t>Avenida Weimar Gonçalves Torres, 862</w:t>
      </w:r>
      <w:r>
        <w:rPr>
          <w:iCs/>
          <w:sz w:val="22"/>
          <w:szCs w:val="22"/>
          <w:highlight w:val="none"/>
        </w:rPr>
        <w:t xml:space="preserve">, inscrita no CGC/MF sob o n.º 03.155.934/0001-90, doravante denominada CONTRATANTE e </w:t>
      </w:r>
      <w:r>
        <w:rPr>
          <w:iCs/>
          <w:sz w:val="22"/>
          <w:szCs w:val="22"/>
        </w:rPr>
        <w:t>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w:t>
      </w:r>
      <w:r>
        <w:rPr>
          <w:rFonts w:hint="default"/>
          <w:sz w:val="22"/>
          <w:szCs w:val="22"/>
          <w:lang w:val="pt-BR"/>
        </w:rPr>
        <w:t xml:space="preserve"> a Sra.</w:t>
      </w:r>
      <w:r>
        <w:rPr>
          <w:sz w:val="22"/>
          <w:szCs w:val="22"/>
        </w:rPr>
        <w:t xml:space="preserve"> </w:t>
      </w:r>
      <w:r>
        <w:rPr>
          <w:rFonts w:hint="default"/>
          <w:b/>
          <w:bCs/>
          <w:sz w:val="24"/>
          <w:szCs w:val="24"/>
          <w:u w:val="single"/>
          <w:lang w:val="pt-BR"/>
        </w:rPr>
        <w:t>Viviane Ribeiro Bogarin Capilé</w:t>
      </w:r>
      <w:r>
        <w:rPr>
          <w:rFonts w:hint="default"/>
          <w:sz w:val="24"/>
          <w:szCs w:val="24"/>
          <w:lang w:val="pt-BR"/>
        </w:rPr>
        <w:t>, Gerente de Finanças e Ordenadora de Despesas Conforme Decreto nº 034/2022, brasileira portadora do CPF/MS º 711.286.101-53 e Cédula de Identidade RG nº 949.042 SSP/MS, residente e domiciliada nesta cidade, à Rua Enoque Antonio de Aquino, 506 -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5"/>
        <w:ind w:left="0" w:right="0" w:firstLine="0"/>
      </w:pPr>
      <w:r>
        <w:rPr>
          <w:rFonts w:ascii="Times New Roman" w:hAnsi="Times New Roman" w:cs="Times New Roman"/>
          <w:iCs/>
          <w:szCs w:val="22"/>
        </w:rPr>
        <w:t xml:space="preserve">III - DA AUTORIZAÇÃO DA LICITAÇÃO: O presente Contrato é celebrado em decorrência da autorização </w:t>
      </w:r>
      <w:r>
        <w:rPr>
          <w:rFonts w:hint="default" w:ascii="Times New Roman" w:hAnsi="Times New Roman" w:cs="Times New Roman"/>
          <w:iCs/>
          <w:szCs w:val="22"/>
          <w:lang w:val="pt-BR"/>
        </w:rPr>
        <w:t xml:space="preserve">da Sra. </w:t>
      </w:r>
      <w:r>
        <w:rPr>
          <w:rFonts w:hint="default" w:ascii="Times New Roman" w:hAnsi="Times New Roman"/>
          <w:iCs/>
          <w:szCs w:val="22"/>
        </w:rPr>
        <w:t>Viviane Ribeiro Bogarin Capilé, Gerente de Finanças e Ordenadora de Despesas Conforme Decreto nº 034/2022</w:t>
      </w:r>
      <w:r>
        <w:rPr>
          <w:rFonts w:ascii="Times New Roman" w:hAnsi="Times New Roman" w:cs="Times New Roman"/>
          <w:iCs/>
          <w:szCs w:val="22"/>
        </w:rPr>
        <w:t xml:space="preserve">, exarada em despacho constante do </w:t>
      </w:r>
      <w:r>
        <w:rPr>
          <w:rFonts w:ascii="Times New Roman" w:hAnsi="Times New Roman" w:cs="Times New Roman"/>
          <w:b/>
          <w:iCs/>
          <w:szCs w:val="22"/>
        </w:rPr>
        <w:t>Processo Licitatório nº 226/2023</w:t>
      </w:r>
      <w:r>
        <w:rPr>
          <w:rFonts w:ascii="Times New Roman" w:hAnsi="Times New Roman" w:cs="Times New Roman"/>
          <w:iCs/>
          <w:szCs w:val="22"/>
        </w:rPr>
        <w:t xml:space="preserve">, gerado pelo </w:t>
      </w:r>
      <w:r>
        <w:rPr>
          <w:rFonts w:ascii="Times New Roman" w:hAnsi="Times New Roman" w:cs="Times New Roman"/>
          <w:b/>
          <w:iCs/>
          <w:szCs w:val="22"/>
        </w:rPr>
        <w:t>Pregão Presencial nº 89/2023</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7"/>
        </w:numPr>
        <w:tabs>
          <w:tab w:val="left" w:pos="1440"/>
        </w:tabs>
        <w:ind w:left="0" w:right="0" w:firstLine="0"/>
        <w:jc w:val="both"/>
        <w:textAlignment w:val="auto"/>
      </w:pPr>
      <w:r>
        <w:rPr>
          <w:iCs/>
          <w:sz w:val="22"/>
          <w:szCs w:val="22"/>
        </w:rPr>
        <w:t xml:space="preserve">- Constitui objeto deste Contrato a </w:t>
      </w:r>
      <w:r>
        <w:rPr>
          <w:b/>
          <w:bCs/>
          <w:iCs/>
          <w:sz w:val="22"/>
          <w:szCs w:val="22"/>
        </w:rPr>
        <w:t>CONTRATAÇÃO DE EMPRESA ESPECIALIZADA PARA PRESTAÇÃO DE SERVIÇOS TÉCNICOS PARA A REESTRUTURAÇÃO, REVISÃO E ACOMPANHAMENTO DO VALOR ADICIONADO QUE COMPÕE A BASE DE CÁLCULO DA DISTRIBUIÇÃO DO ICMS DO MUNICÍPIO DE NAVIRAÍ-MS. SOLICITAÇÃO DA GERÊNCIA DE FINANÇAS DO MUNICIPIO DE NAVIRAÍ-MS.PEDIDO DE COMPRAS  Nº 253/2023.</w:t>
      </w:r>
    </w:p>
    <w:p>
      <w:pPr>
        <w:widowControl w:val="0"/>
        <w:ind w:left="0" w:right="-568" w:firstLine="0"/>
        <w:jc w:val="both"/>
        <w:rPr>
          <w:iCs/>
          <w:sz w:val="22"/>
          <w:szCs w:val="22"/>
        </w:rPr>
      </w:pPr>
      <w:r>
        <w:rPr>
          <w:iCs/>
          <w:sz w:val="22"/>
          <w:szCs w:val="22"/>
        </w:rPr>
        <w:t xml:space="preserve">                  </w:t>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rFonts w:hint="default"/>
          <w:b/>
          <w:bCs/>
          <w:sz w:val="22"/>
          <w:szCs w:val="22"/>
          <w:lang w:val="pt-BR"/>
        </w:rPr>
        <w:t>2</w:t>
      </w:r>
      <w:r>
        <w:rPr>
          <w:b/>
          <w:bCs/>
          <w:sz w:val="22"/>
          <w:szCs w:val="22"/>
        </w:rPr>
        <w:t xml:space="preserve">.1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w:t>
      </w:r>
      <w:r>
        <w:rPr>
          <w:rFonts w:hint="default"/>
          <w:sz w:val="22"/>
          <w:szCs w:val="22"/>
          <w:lang w:val="pt-BR"/>
        </w:rPr>
        <w:t>serviços</w:t>
      </w:r>
      <w:r>
        <w:rPr>
          <w:sz w:val="22"/>
          <w:szCs w:val="22"/>
        </w:rPr>
        <w:t xml:space="preserve">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rPr>
          <w:sz w:val="22"/>
          <w:szCs w:val="22"/>
        </w:rPr>
      </w:pPr>
      <w:r>
        <w:rPr>
          <w:b/>
          <w:bCs/>
          <w:sz w:val="22"/>
          <w:szCs w:val="22"/>
        </w:rPr>
        <w:t>IV</w:t>
      </w:r>
      <w:r>
        <w:rPr>
          <w:sz w:val="22"/>
          <w:szCs w:val="22"/>
        </w:rPr>
        <w:t xml:space="preserve"> Manter todas as condições de habilitação exigidas na presente licitação:</w:t>
      </w:r>
    </w:p>
    <w:p>
      <w:pPr>
        <w:ind w:left="360" w:right="0" w:firstLine="0"/>
        <w:jc w:val="both"/>
        <w:rPr>
          <w:sz w:val="22"/>
          <w:szCs w:val="22"/>
        </w:rPr>
      </w:pPr>
    </w:p>
    <w:p>
      <w:pPr>
        <w:ind w:left="0" w:leftChars="0" w:right="0" w:firstLine="0" w:firstLineChars="0"/>
        <w:jc w:val="both"/>
        <w:rPr>
          <w:rFonts w:hint="default"/>
          <w:sz w:val="22"/>
          <w:szCs w:val="22"/>
        </w:rPr>
      </w:pPr>
      <w:r>
        <w:rPr>
          <w:rFonts w:hint="default"/>
          <w:b/>
          <w:bCs/>
          <w:sz w:val="22"/>
          <w:szCs w:val="22"/>
          <w:lang w:val="pt-BR"/>
        </w:rPr>
        <w:t>2.1.1 -</w:t>
      </w:r>
      <w:r>
        <w:rPr>
          <w:rFonts w:hint="default"/>
          <w:sz w:val="22"/>
          <w:szCs w:val="22"/>
          <w:lang w:val="pt-BR"/>
        </w:rPr>
        <w:t xml:space="preserve"> </w:t>
      </w:r>
      <w:r>
        <w:rPr>
          <w:rFonts w:hint="default"/>
          <w:sz w:val="22"/>
          <w:szCs w:val="22"/>
        </w:rPr>
        <w:t xml:space="preserve"> A Contratada terá como objetivo primordial, buscar todos os direitos que a Contratante tem de valor adicionado, em conformidade com o disposto no §10 e seguintes do Artigo 3º da Lei Complementar nº 63, de 11 de janeiro de 1990; </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2.1.2</w:t>
      </w:r>
      <w:r>
        <w:rPr>
          <w:rFonts w:hint="default"/>
          <w:sz w:val="22"/>
          <w:szCs w:val="22"/>
          <w:lang w:val="pt-BR"/>
        </w:rPr>
        <w:t xml:space="preserve"> -</w:t>
      </w:r>
      <w:r>
        <w:rPr>
          <w:rFonts w:hint="default"/>
          <w:sz w:val="22"/>
          <w:szCs w:val="22"/>
        </w:rPr>
        <w:t xml:space="preserve"> Efetuar a análise dos dados que compõem o índice de distribuição do produto da arrecadação do ICMS aos Municípios publicados pela SEFAZ (Secretaria de Estado de Fazenda);</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 xml:space="preserve">2.1.3 </w:t>
      </w:r>
      <w:r>
        <w:rPr>
          <w:rFonts w:hint="default"/>
          <w:sz w:val="22"/>
          <w:szCs w:val="22"/>
          <w:lang w:val="pt-BR"/>
        </w:rPr>
        <w:t>-</w:t>
      </w:r>
      <w:r>
        <w:rPr>
          <w:rFonts w:hint="default"/>
          <w:sz w:val="22"/>
          <w:szCs w:val="22"/>
        </w:rPr>
        <w:t xml:space="preserve"> Efetuar a solicitação, análise e avaliação da relação de contribuintes que participam da formação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2.1.4</w:t>
      </w:r>
      <w:r>
        <w:rPr>
          <w:rFonts w:hint="default"/>
          <w:sz w:val="22"/>
          <w:szCs w:val="22"/>
          <w:lang w:val="pt-BR"/>
        </w:rPr>
        <w:t xml:space="preserve"> -</w:t>
      </w:r>
      <w:r>
        <w:rPr>
          <w:rFonts w:hint="default"/>
          <w:sz w:val="22"/>
          <w:szCs w:val="22"/>
        </w:rPr>
        <w:t xml:space="preserve"> Solicitação, análise e avaliação da relação dos maiores contribuintes que participam na formação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2.1.5</w:t>
      </w:r>
      <w:r>
        <w:rPr>
          <w:rFonts w:hint="default"/>
          <w:sz w:val="22"/>
          <w:szCs w:val="22"/>
          <w:lang w:val="pt-BR"/>
        </w:rPr>
        <w:t xml:space="preserve"> -</w:t>
      </w:r>
      <w:r>
        <w:rPr>
          <w:rFonts w:hint="default"/>
          <w:sz w:val="22"/>
          <w:szCs w:val="22"/>
        </w:rPr>
        <w:t xml:space="preserve"> Solicitação, análise e avaliação de contribuintes omissos da GIA (Guia de Informação e Apuração de ICMS) e da DAP (Declaração Anual de Produtor Rural);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2.1.6</w:t>
      </w:r>
      <w:r>
        <w:rPr>
          <w:rFonts w:hint="default"/>
          <w:sz w:val="22"/>
          <w:szCs w:val="22"/>
          <w:lang w:val="pt-BR"/>
        </w:rPr>
        <w:t xml:space="preserve"> - </w:t>
      </w:r>
      <w:r>
        <w:rPr>
          <w:rFonts w:hint="default"/>
          <w:sz w:val="22"/>
          <w:szCs w:val="22"/>
        </w:rPr>
        <w:t>Solicitação das informações de contribuintes omissos com a entrega dos documentos fiscais: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 xml:space="preserve">2.1.7 </w:t>
      </w:r>
      <w:r>
        <w:rPr>
          <w:rFonts w:hint="default"/>
          <w:sz w:val="22"/>
          <w:szCs w:val="22"/>
          <w:lang w:val="pt-BR"/>
        </w:rPr>
        <w:t xml:space="preserve">- </w:t>
      </w:r>
      <w:r>
        <w:rPr>
          <w:rFonts w:hint="default"/>
          <w:sz w:val="22"/>
          <w:szCs w:val="22"/>
        </w:rPr>
        <w:t>Solicitação, análise e avaliação de NFPS (Notas Fiscais de Produtor Rural), NFAS (Notas Fiscais Avulsas), NFP-e (Notas Fiscais Eletrônicas de Produtor Rural) e NFP-e (Notas Fiscais Eletrônicas);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2.1.8</w:t>
      </w:r>
      <w:r>
        <w:rPr>
          <w:rFonts w:hint="default"/>
          <w:sz w:val="22"/>
          <w:szCs w:val="22"/>
          <w:lang w:val="pt-BR"/>
        </w:rPr>
        <w:t xml:space="preserve"> - </w:t>
      </w:r>
      <w:r>
        <w:rPr>
          <w:rFonts w:hint="default"/>
          <w:sz w:val="22"/>
          <w:szCs w:val="22"/>
        </w:rPr>
        <w:t>Análise de outras atividades que venham a contribuir com o aumento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2.1.9</w:t>
      </w:r>
      <w:r>
        <w:rPr>
          <w:rFonts w:hint="default"/>
          <w:sz w:val="22"/>
          <w:szCs w:val="22"/>
          <w:lang w:val="pt-BR"/>
        </w:rPr>
        <w:t xml:space="preserve"> - </w:t>
      </w:r>
      <w:r>
        <w:rPr>
          <w:rFonts w:hint="default"/>
          <w:sz w:val="22"/>
          <w:szCs w:val="22"/>
        </w:rPr>
        <w:t>Efetuar análise da composição do índice de participação dos municípios provisório publicado pelo Estado por meio da Resolução SEFAZ, identificando eventuais falhas na apuração dos itens que compõem a formação do referido índice, manejando o competente recurso administrativo, se cabível, com acompanhamento até a publicação dos valores definitivos;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2.1.10</w:t>
      </w:r>
      <w:r>
        <w:rPr>
          <w:rFonts w:hint="default"/>
          <w:sz w:val="22"/>
          <w:szCs w:val="22"/>
          <w:lang w:val="pt-BR"/>
        </w:rPr>
        <w:t xml:space="preserve"> - </w:t>
      </w:r>
      <w:r>
        <w:rPr>
          <w:rFonts w:hint="default"/>
          <w:sz w:val="22"/>
          <w:szCs w:val="22"/>
        </w:rPr>
        <w:t>A Contratada deverá elaborar relatórios mensalmente referente ao acompanhamento do trabalho, indicando as atividades realizadas, os entraves identificados e os respectivos encaminhamentos, bem como referente ao financeiro, a partir do primeiro crédito decorrente do incremento da receita, detalhando os valores arrecadados mês a mês e, relatório final consolidado contendo, o resumo das ações desempenhadas e suas consequências em favor do município;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2.1.11</w:t>
      </w:r>
      <w:r>
        <w:rPr>
          <w:rFonts w:hint="default"/>
          <w:sz w:val="22"/>
          <w:szCs w:val="22"/>
          <w:lang w:val="pt-BR"/>
        </w:rPr>
        <w:t xml:space="preserve"> - </w:t>
      </w:r>
      <w:r>
        <w:rPr>
          <w:rFonts w:hint="default"/>
          <w:sz w:val="22"/>
          <w:szCs w:val="22"/>
        </w:rPr>
        <w:t>A Contratada deverá assumir todas as despesas necessárias ao cumprimento da prestação dos serviços técnicos e profissionais especializados, principalmente as despesas decorrentes de viagens e deslocamentos, inclusive no caso de estadia e alimentação relacionadas com a necessidade de permanência na cidade, ou mesmo no caso de deslocamento para outras localidades, a fim de atender o interesse do serviço público da Municipalidade;</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2.1.12</w:t>
      </w:r>
      <w:r>
        <w:rPr>
          <w:rFonts w:hint="default"/>
          <w:sz w:val="22"/>
          <w:szCs w:val="22"/>
          <w:lang w:val="pt-BR"/>
        </w:rPr>
        <w:t xml:space="preserve"> - </w:t>
      </w:r>
      <w:r>
        <w:rPr>
          <w:rFonts w:hint="default"/>
          <w:sz w:val="22"/>
          <w:szCs w:val="22"/>
        </w:rPr>
        <w:t>Os serviços poderão ser também disponibilizados à distância, com atendimento “online” ou por telefone, com orientação técnica abrangendo durante todo o período contratado;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2.1.13</w:t>
      </w:r>
      <w:r>
        <w:rPr>
          <w:rFonts w:hint="default"/>
          <w:sz w:val="22"/>
          <w:szCs w:val="22"/>
          <w:lang w:val="pt-BR"/>
        </w:rPr>
        <w:t xml:space="preserve"> - </w:t>
      </w:r>
      <w:r>
        <w:rPr>
          <w:rFonts w:hint="default"/>
          <w:sz w:val="22"/>
          <w:szCs w:val="22"/>
        </w:rPr>
        <w:t>Prestar, sem quaisquer ônus para a Contratante, os serviços necessários à correção e revisão de falhas ou defeitos verificados na execução do trabalho, sempre que a ela imputáveis;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2.1.14</w:t>
      </w:r>
      <w:r>
        <w:rPr>
          <w:rFonts w:hint="default"/>
          <w:sz w:val="22"/>
          <w:szCs w:val="22"/>
          <w:lang w:val="pt-BR"/>
        </w:rPr>
        <w:t xml:space="preserve"> - </w:t>
      </w:r>
      <w:r>
        <w:rPr>
          <w:rFonts w:hint="default"/>
          <w:sz w:val="22"/>
          <w:szCs w:val="22"/>
        </w:rPr>
        <w:t>A Contratada obrigar-se-á a manter a mais absoluta confidencialidade sobre materiais, dados e informações disponibilizados ou conhecidos em decorrência da contratação, bem como trata-los como matéria sigilosa;</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2.1.15</w:t>
      </w:r>
      <w:r>
        <w:rPr>
          <w:rFonts w:hint="default"/>
          <w:sz w:val="22"/>
          <w:szCs w:val="22"/>
          <w:lang w:val="pt-BR"/>
        </w:rPr>
        <w:t xml:space="preserve"> - </w:t>
      </w:r>
      <w:r>
        <w:rPr>
          <w:rFonts w:hint="default"/>
          <w:sz w:val="22"/>
          <w:szCs w:val="22"/>
        </w:rPr>
        <w:t>Deverá prestar os serviços na forma ajustada da legislação aplicável observando as normas legais e jurisprudências e relatar a Contratante imediatamente sobre qualquer irregularidade observada que porventura possam prejudicar ou embaraçar o perfeito desempenho das atividades dos serviços contratados;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2.1.16</w:t>
      </w:r>
      <w:r>
        <w:rPr>
          <w:rFonts w:hint="default"/>
          <w:sz w:val="22"/>
          <w:szCs w:val="22"/>
          <w:lang w:val="pt-BR"/>
        </w:rPr>
        <w:t xml:space="preserve"> - </w:t>
      </w:r>
      <w:r>
        <w:rPr>
          <w:rFonts w:hint="default"/>
          <w:sz w:val="22"/>
          <w:szCs w:val="22"/>
        </w:rPr>
        <w:t>A Contratada deverá proporcionar um acompanhamento da evolução do valor adicionado, requerer informações, impugnar procedimentos, documentos e cálculos, protestar pela inclusão de valores para formação do valor econômico do Município de Naviraí/MS e todos atos necessários para fazer e processar todas as informações que, direta ou indiretamente, contribuam para o aumento do índice de participação do Município no ICMS;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2.1.17</w:t>
      </w:r>
      <w:r>
        <w:rPr>
          <w:rFonts w:hint="default"/>
          <w:sz w:val="22"/>
          <w:szCs w:val="22"/>
          <w:lang w:val="pt-BR"/>
        </w:rPr>
        <w:t xml:space="preserve"> - </w:t>
      </w:r>
      <w:r>
        <w:rPr>
          <w:rFonts w:hint="default"/>
          <w:sz w:val="22"/>
          <w:szCs w:val="22"/>
        </w:rPr>
        <w:t xml:space="preserve">Os serviços deverão ser executados </w:t>
      </w:r>
      <w:r>
        <w:rPr>
          <w:rFonts w:hint="default"/>
          <w:b/>
          <w:bCs/>
          <w:sz w:val="22"/>
          <w:szCs w:val="22"/>
        </w:rPr>
        <w:t>“in loco”</w:t>
      </w:r>
      <w:r>
        <w:rPr>
          <w:rFonts w:hint="default"/>
          <w:sz w:val="22"/>
          <w:szCs w:val="22"/>
        </w:rPr>
        <w:t xml:space="preserve"> no mínimo a cada 15 (quinze) dias, na Sede da Prefeitura Municipal de Naviraí/MS e a qualquer tempo quando necessário, através dos meios de comunicação disponíveis, tais como telefone, e-mail, aplicativo WhatsApp;</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2.1.18</w:t>
      </w:r>
      <w:r>
        <w:rPr>
          <w:rFonts w:hint="default"/>
          <w:sz w:val="22"/>
          <w:szCs w:val="22"/>
          <w:lang w:val="pt-BR"/>
        </w:rPr>
        <w:t xml:space="preserve"> - </w:t>
      </w:r>
      <w:r>
        <w:rPr>
          <w:rFonts w:hint="default"/>
          <w:sz w:val="22"/>
          <w:szCs w:val="22"/>
        </w:rPr>
        <w:t>A Contratada possibilitará a fiscalização pela Contratante quanto à execução, controle e supervisão dos recursos alocados aos seus contratos;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2.1.19</w:t>
      </w:r>
      <w:r>
        <w:rPr>
          <w:rFonts w:hint="default"/>
          <w:sz w:val="22"/>
          <w:szCs w:val="22"/>
          <w:lang w:val="pt-BR"/>
        </w:rPr>
        <w:t xml:space="preserve"> - </w:t>
      </w:r>
      <w:r>
        <w:rPr>
          <w:rFonts w:hint="default"/>
          <w:sz w:val="22"/>
          <w:szCs w:val="22"/>
        </w:rPr>
        <w:t>A Contratada assumirá responsabilidade integral e exclusiva pelos serviços contratados bem como, responderá por todas as atividades decorrentes da prestação de serviços, objeto do Contrato, nos termos do Código Civil Brasileiro;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2.1.20</w:t>
      </w:r>
      <w:r>
        <w:rPr>
          <w:rFonts w:hint="default"/>
          <w:sz w:val="22"/>
          <w:szCs w:val="22"/>
          <w:lang w:val="pt-BR"/>
        </w:rPr>
        <w:t xml:space="preserve"> - </w:t>
      </w:r>
      <w:r>
        <w:rPr>
          <w:rFonts w:hint="default"/>
          <w:sz w:val="22"/>
          <w:szCs w:val="22"/>
        </w:rPr>
        <w:t xml:space="preserve">A Contratada deverá apresentar Atestado de Capacidade Técnica/Operacional, eis que o atestado é a declaração fornecida pelo serviço, pessoa física ou jurídica de direito público ou privado, que atesta a prestação de serviço e identifique seus elementos quantitativos e qualitativos, o local e o período de execução, os responsáveis técnicos envolvidos e as atividades técnicas executadas; </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2.1.21</w:t>
      </w:r>
      <w:r>
        <w:rPr>
          <w:rFonts w:hint="default"/>
          <w:sz w:val="22"/>
          <w:szCs w:val="22"/>
          <w:lang w:val="pt-BR"/>
        </w:rPr>
        <w:t xml:space="preserve"> - </w:t>
      </w:r>
      <w:r>
        <w:rPr>
          <w:rFonts w:hint="default"/>
          <w:sz w:val="22"/>
          <w:szCs w:val="22"/>
        </w:rPr>
        <w:t>A Contratada deverá adotar práticas de sustentabilidade na execução dos serviços, conforme orientações do art. 6° da IN nº. 01/2010 (Compras Sustentáveis);</w:t>
      </w:r>
    </w:p>
    <w:p>
      <w:pPr>
        <w:ind w:left="0" w:leftChars="0" w:right="0" w:firstLine="0" w:firstLineChars="0"/>
        <w:jc w:val="both"/>
        <w:rPr>
          <w:rFonts w:hint="default"/>
          <w:sz w:val="22"/>
          <w:szCs w:val="22"/>
        </w:rPr>
      </w:pPr>
    </w:p>
    <w:p>
      <w:pPr>
        <w:ind w:left="0" w:leftChars="0" w:right="0" w:firstLine="0" w:firstLineChars="0"/>
        <w:jc w:val="both"/>
        <w:rPr>
          <w:sz w:val="22"/>
          <w:szCs w:val="22"/>
        </w:rPr>
      </w:pPr>
      <w:r>
        <w:rPr>
          <w:rFonts w:hint="default"/>
          <w:b/>
          <w:bCs/>
          <w:sz w:val="22"/>
          <w:szCs w:val="22"/>
          <w:lang w:val="pt-BR"/>
        </w:rPr>
        <w:t>2.1.22</w:t>
      </w:r>
      <w:r>
        <w:rPr>
          <w:rFonts w:hint="default"/>
          <w:sz w:val="22"/>
          <w:szCs w:val="22"/>
          <w:lang w:val="pt-BR"/>
        </w:rPr>
        <w:t xml:space="preserve"> - </w:t>
      </w:r>
      <w:r>
        <w:rPr>
          <w:rFonts w:hint="default"/>
          <w:sz w:val="22"/>
          <w:szCs w:val="22"/>
        </w:rPr>
        <w:t>Aceitar nas mesmas condições contratuais os acréscimos ou supressões de até 25% (vinte e cinco porcento).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w:t>
      </w:r>
      <w:r>
        <w:rPr>
          <w:b/>
          <w:bCs/>
          <w:iCs/>
          <w:sz w:val="22"/>
          <w:szCs w:val="22"/>
        </w:rPr>
        <w:t>CONTRATANTE</w:t>
      </w:r>
    </w:p>
    <w:p>
      <w:pPr>
        <w:jc w:val="both"/>
        <w:rPr>
          <w:iCs/>
          <w:sz w:val="22"/>
          <w:szCs w:val="22"/>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w:t>
      </w:r>
      <w:r>
        <w:rPr>
          <w:rFonts w:hint="default" w:ascii="Times New Roman" w:hAnsi="Times New Roman" w:eastAsia="Times New Roman" w:cs="Times New Roman"/>
          <w:sz w:val="22"/>
          <w:szCs w:val="22"/>
          <w:lang w:val="pt-BR"/>
        </w:rPr>
        <w:t xml:space="preserve"> </w:t>
      </w:r>
      <w:r>
        <w:rPr>
          <w:rFonts w:hint="default" w:ascii="Times New Roman" w:hAnsi="Times New Roman" w:eastAsia="Times New Roman" w:cs="Times New Roman"/>
          <w:sz w:val="22"/>
          <w:szCs w:val="22"/>
          <w:lang w:val="pt"/>
        </w:rPr>
        <w:t>Acompanhar e fiscalizar a prestação do serviço, anotando em registro próprio as falhas detectadas, comunicando ao contratado as ocorrências de quaisquer fatos que, a seu critério, exijam medidas corretivas por parte daquela;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 xml:space="preserve">II </w:t>
      </w:r>
      <w:r>
        <w:rPr>
          <w:rFonts w:hint="default" w:ascii="Times New Roman" w:hAnsi="Times New Roman" w:eastAsia="Times New Roman" w:cs="Times New Roman"/>
          <w:sz w:val="22"/>
          <w:szCs w:val="22"/>
          <w:lang w:val="pt"/>
        </w:rPr>
        <w:t>Fornecer todos os dados que possua em seus cadastros e que possa contribuir com a realização dos serviços descritos no objeto;</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III</w:t>
      </w:r>
      <w:r>
        <w:rPr>
          <w:rFonts w:hint="default" w:ascii="Times New Roman" w:hAnsi="Times New Roman" w:eastAsia="Times New Roman" w:cs="Times New Roman"/>
          <w:sz w:val="22"/>
          <w:szCs w:val="22"/>
          <w:lang w:val="pt"/>
        </w:rPr>
        <w:t xml:space="preserve"> Receber o objeto deste Termo de Referência na forma supracitada;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IV</w:t>
      </w:r>
      <w:r>
        <w:rPr>
          <w:rFonts w:hint="default" w:ascii="Times New Roman" w:hAnsi="Times New Roman" w:eastAsia="Times New Roman" w:cs="Times New Roman"/>
          <w:sz w:val="22"/>
          <w:szCs w:val="22"/>
          <w:lang w:val="pt"/>
        </w:rPr>
        <w:t xml:space="preserve"> Efetuar o pagamento ao contratado de acordo com a forma e os prazos estabelecidos neste Termo de Referência;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cs="Times New Roman"/>
          <w:color w:val="auto"/>
          <w:sz w:val="24"/>
          <w:szCs w:val="24"/>
          <w:lang w:val="pt"/>
        </w:rPr>
      </w:pPr>
      <w:r>
        <w:rPr>
          <w:rFonts w:hint="default" w:ascii="Times New Roman" w:hAnsi="Times New Roman" w:eastAsia="Times New Roman" w:cs="Times New Roman"/>
          <w:b/>
          <w:bCs/>
          <w:sz w:val="22"/>
          <w:szCs w:val="22"/>
          <w:lang w:val="pt-BR"/>
        </w:rPr>
        <w:t>V</w:t>
      </w:r>
      <w:r>
        <w:rPr>
          <w:rFonts w:hint="default" w:ascii="Times New Roman" w:hAnsi="Times New Roman" w:eastAsia="Times New Roman" w:cs="Times New Roman"/>
          <w:b/>
          <w:bCs/>
          <w:sz w:val="22"/>
          <w:szCs w:val="22"/>
          <w:lang w:val="pt"/>
        </w:rPr>
        <w:t xml:space="preserve"> </w:t>
      </w:r>
      <w:r>
        <w:rPr>
          <w:rFonts w:hint="default" w:ascii="Times New Roman" w:hAnsi="Times New Roman" w:eastAsia="Times New Roman" w:cs="Times New Roman"/>
          <w:sz w:val="22"/>
          <w:szCs w:val="22"/>
          <w:lang w:val="pt"/>
        </w:rPr>
        <w:t>Notificar o contratado por escrito a ocorrência de irregularidades na prestação dos s</w:t>
      </w:r>
      <w:r>
        <w:rPr>
          <w:rFonts w:hint="default" w:ascii="Times New Roman" w:hAnsi="Times New Roman" w:cs="Times New Roman"/>
          <w:color w:val="auto"/>
          <w:sz w:val="24"/>
          <w:szCs w:val="24"/>
          <w:lang w:val="pt"/>
        </w:rPr>
        <w:t>erviços;</w:t>
      </w:r>
    </w:p>
    <w:p>
      <w:pPr>
        <w:ind w:right="0"/>
        <w:jc w:val="both"/>
        <w:rPr>
          <w:rFonts w:hint="default" w:ascii="Times New Roman" w:hAnsi="Times New Roman" w:cs="Times New Roman"/>
          <w:color w:val="auto"/>
          <w:sz w:val="24"/>
          <w:szCs w:val="24"/>
          <w:lang w:val="pt"/>
        </w:rPr>
      </w:pPr>
    </w:p>
    <w:p>
      <w:pPr>
        <w:ind w:right="0"/>
        <w:jc w:val="both"/>
        <w:rPr>
          <w:sz w:val="22"/>
          <w:szCs w:val="22"/>
        </w:rPr>
      </w:pPr>
      <w:r>
        <w:rPr>
          <w:b/>
          <w:bCs/>
          <w:sz w:val="22"/>
          <w:szCs w:val="22"/>
        </w:rPr>
        <w:t>V</w:t>
      </w:r>
      <w:r>
        <w:rPr>
          <w:rFonts w:hint="default"/>
          <w:b/>
          <w:bCs/>
          <w:sz w:val="22"/>
          <w:szCs w:val="22"/>
          <w:lang w:val="pt-BR"/>
        </w:rPr>
        <w:t>I</w:t>
      </w:r>
      <w:r>
        <w:rPr>
          <w:sz w:val="22"/>
          <w:szCs w:val="22"/>
        </w:rPr>
        <w:t xml:space="preserve"> Aplicar as sanções administrativas contratuais pertinentes, em caso de inadimplemento.</w:t>
      </w:r>
    </w:p>
    <w:p>
      <w:pPr>
        <w:ind w:left="360" w:right="0" w:firstLine="0"/>
        <w:jc w:val="both"/>
      </w:pPr>
    </w:p>
    <w:p>
      <w:pPr>
        <w:ind w:left="360" w:right="0" w:firstLine="0"/>
        <w:jc w:val="both"/>
        <w:rPr>
          <w:iCs/>
          <w:sz w:val="22"/>
          <w:szCs w:val="22"/>
        </w:rPr>
      </w:pPr>
    </w:p>
    <w:p>
      <w:pPr>
        <w:widowControl w:val="0"/>
        <w:overflowPunct w:val="0"/>
        <w:autoSpaceDE w:val="0"/>
        <w:autoSpaceDN w:val="0"/>
        <w:adjustRightInd w:val="0"/>
        <w:spacing w:after="0" w:line="240" w:lineRule="auto"/>
        <w:jc w:val="both"/>
        <w:textAlignment w:val="baseline"/>
        <w:rPr>
          <w:rFonts w:hint="default" w:eastAsia="Times New Roman"/>
          <w:b/>
          <w:iCs/>
          <w:sz w:val="22"/>
          <w:lang w:val="pt-BR"/>
        </w:rPr>
      </w:pPr>
      <w:r>
        <w:rPr>
          <w:rFonts w:eastAsia="Times New Roman"/>
          <w:b/>
          <w:iCs/>
          <w:sz w:val="22"/>
        </w:rPr>
        <w:t xml:space="preserve">CLÁUSULA TERCEIRA - FORMA DE </w:t>
      </w:r>
      <w:r>
        <w:rPr>
          <w:rFonts w:hint="default" w:eastAsia="Times New Roman"/>
          <w:b/>
          <w:iCs/>
          <w:sz w:val="22"/>
          <w:lang w:val="pt-BR"/>
        </w:rPr>
        <w:t>PRESTAÇÃO DE SERVIÇOS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3.1</w:t>
      </w:r>
      <w:r>
        <w:rPr>
          <w:rFonts w:eastAsia="Times New Roman"/>
          <w:sz w:val="22"/>
        </w:rPr>
        <w:t xml:space="preserve"> – </w:t>
      </w:r>
      <w:r>
        <w:rPr>
          <w:iCs/>
          <w:color w:val="000000"/>
          <w:sz w:val="22"/>
        </w:rPr>
        <w:t xml:space="preserve">Os serviços serão solicitados conforme a necessidade da gerência, e deverão ser executados </w:t>
      </w:r>
      <w:r>
        <w:rPr>
          <w:rFonts w:hint="default"/>
          <w:iCs/>
          <w:color w:val="000000"/>
          <w:sz w:val="22"/>
          <w:lang w:val="pt-BR"/>
        </w:rPr>
        <w:t xml:space="preserve">de acordo com o termo de referência </w:t>
      </w:r>
      <w:r>
        <w:rPr>
          <w:sz w:val="22"/>
        </w:rPr>
        <w:t xml:space="preserve">após o recebimento da Ordem de Serviço devidamente assinada.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3.2</w:t>
      </w:r>
      <w:r>
        <w:rPr>
          <w:rFonts w:eastAsia="Times New Roman"/>
          <w:sz w:val="22"/>
        </w:rPr>
        <w:t xml:space="preserve"> – </w:t>
      </w:r>
      <w:r>
        <w:rPr>
          <w:rFonts w:hint="default" w:ascii="Times New Roman" w:hAnsi="Times New Roman" w:eastAsia="Times-Roman" w:cs="Times New Roman"/>
          <w:color w:val="000000"/>
          <w:kern w:val="0"/>
          <w:sz w:val="24"/>
          <w:szCs w:val="24"/>
          <w:lang w:val="en-US" w:eastAsia="zh-CN" w:bidi="ar"/>
        </w:rPr>
        <w:t>Todos os custos de viagem e deslocamentos, estad</w:t>
      </w:r>
      <w:r>
        <w:rPr>
          <w:rFonts w:hint="default" w:ascii="Times New Roman" w:hAnsi="Times New Roman" w:eastAsia="Times-Roman" w:cs="Times New Roman"/>
          <w:color w:val="000000"/>
          <w:kern w:val="0"/>
          <w:sz w:val="24"/>
          <w:szCs w:val="24"/>
          <w:lang w:val="pt-BR" w:eastAsia="zh-CN" w:bidi="ar"/>
        </w:rPr>
        <w:t>i</w:t>
      </w:r>
      <w:r>
        <w:rPr>
          <w:rFonts w:hint="default" w:ascii="Times New Roman" w:hAnsi="Times New Roman" w:eastAsia="Times-Roman" w:cs="Times New Roman"/>
          <w:color w:val="000000"/>
          <w:kern w:val="0"/>
          <w:sz w:val="24"/>
          <w:szCs w:val="24"/>
          <w:lang w:val="en-US" w:eastAsia="zh-CN" w:bidi="ar"/>
        </w:rPr>
        <w:t xml:space="preserve">a, alimentação e pessoal técnico especializado deverão estar inclusos no valor proposto para a prestação dos serviços.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3.3</w:t>
      </w:r>
      <w:r>
        <w:rPr>
          <w:rFonts w:eastAsia="Times New Roman"/>
          <w:sz w:val="22"/>
        </w:rPr>
        <w:t xml:space="preserve"> – </w:t>
      </w:r>
      <w:r>
        <w:rPr>
          <w:rFonts w:eastAsia="Times New Roman"/>
          <w:iCs/>
          <w:sz w:val="22"/>
        </w:rPr>
        <w:t xml:space="preserve">Independentemente da aceitação, a adjudicatária garantirá a qualidade dos </w:t>
      </w:r>
      <w:r>
        <w:rPr>
          <w:rFonts w:hint="default" w:eastAsia="Times New Roman"/>
          <w:iCs/>
          <w:sz w:val="22"/>
          <w:lang w:val="pt-BR"/>
        </w:rPr>
        <w:t xml:space="preserve">serviços </w:t>
      </w:r>
      <w:r>
        <w:rPr>
          <w:rFonts w:eastAsia="Times New Roman"/>
          <w:iCs/>
          <w:sz w:val="22"/>
        </w:rPr>
        <w:t>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jc w:val="both"/>
      </w:pPr>
      <w:r>
        <w:rPr>
          <w:rFonts w:eastAsia="Times New Roman"/>
          <w:b/>
          <w:bCs/>
          <w:sz w:val="22"/>
        </w:rPr>
        <w:t>3.4</w:t>
      </w:r>
      <w:r>
        <w:rPr>
          <w:rFonts w:eastAsia="Times New Roman"/>
          <w:sz w:val="22"/>
        </w:rPr>
        <w:t xml:space="preserve"> – A licitante vencedora sujeitar-se-á a mais ampla e irrestrita fiscalização por parte da Administração, encarregada de acompanhar a </w:t>
      </w:r>
      <w:r>
        <w:rPr>
          <w:rFonts w:hint="default" w:eastAsia="Times New Roman"/>
          <w:sz w:val="22"/>
          <w:lang w:val="pt-BR"/>
        </w:rPr>
        <w:t>execução dos serviços</w:t>
      </w:r>
      <w:r>
        <w:rPr>
          <w:rFonts w:eastAsia="Times New Roman"/>
          <w:sz w:val="22"/>
        </w:rPr>
        <w:t xml:space="preserve"> prestando esclarecimentos solicitados atendendo as reclamações formuladas,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fixed"/>
        <w:tblCellMar>
          <w:top w:w="0" w:type="dxa"/>
          <w:left w:w="70" w:type="dxa"/>
          <w:bottom w:w="0" w:type="dxa"/>
          <w:right w:w="70" w:type="dxa"/>
        </w:tblCellMar>
      </w:tblPr>
      <w:tblGrid>
        <w:gridCol w:w="494"/>
        <w:gridCol w:w="706"/>
        <w:gridCol w:w="3118"/>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Cód.</w:t>
            </w:r>
          </w:p>
        </w:tc>
        <w:tc>
          <w:tcPr>
            <w:tcW w:w="3118"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3118" w:type="dxa"/>
            <w:tcBorders>
              <w:top w:val="single" w:color="000000" w:sz="4" w:space="0"/>
              <w:left w:val="single" w:color="000000" w:sz="4" w:space="0"/>
              <w:bottom w:val="single" w:color="000000" w:sz="4" w:space="0"/>
            </w:tcBorders>
          </w:tcPr>
          <w:p>
            <w:pPr>
              <w:widowControl w:val="0"/>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Palatino Linotype" w:hAnsi="Palatino Linotype" w:cs="Palatino Linotype"/>
                <w:bCs/>
                <w:sz w:val="18"/>
              </w:rPr>
            </w:pPr>
          </w:p>
        </w:tc>
      </w:tr>
    </w:tbl>
    <w:p>
      <w:pPr>
        <w:widowControl w:val="0"/>
        <w:jc w:val="both"/>
        <w:rPr>
          <w:iCs/>
          <w:sz w:val="22"/>
          <w:szCs w:val="22"/>
        </w:rPr>
      </w:pPr>
    </w:p>
    <w:p>
      <w:pPr>
        <w:pStyle w:val="17"/>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rPr>
          <w:sz w:val="22"/>
          <w:szCs w:val="22"/>
        </w:rPr>
      </w:pPr>
    </w:p>
    <w:p>
      <w:pPr>
        <w:ind w:left="567" w:right="-96" w:hanging="567"/>
        <w:jc w:val="both"/>
      </w:pPr>
      <w:r>
        <w:rPr>
          <w:b/>
          <w:bCs/>
          <w:sz w:val="22"/>
          <w:szCs w:val="22"/>
        </w:rPr>
        <w:t>4.7.</w:t>
      </w:r>
      <w:r>
        <w:rPr>
          <w:rFonts w:hint="default"/>
          <w:b/>
          <w:bCs/>
          <w:sz w:val="22"/>
          <w:szCs w:val="22"/>
          <w:lang w:val="pt-BR"/>
        </w:rPr>
        <w:t>2</w:t>
      </w:r>
      <w:r>
        <w:rPr>
          <w:b/>
          <w:bCs/>
          <w:sz w:val="22"/>
          <w:szCs w:val="22"/>
        </w:rPr>
        <w:t xml:space="preserve">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4.7.</w:t>
      </w:r>
      <w:r>
        <w:rPr>
          <w:rFonts w:hint="default"/>
          <w:b/>
          <w:bCs/>
          <w:sz w:val="22"/>
          <w:szCs w:val="22"/>
          <w:lang w:val="pt-BR"/>
        </w:rPr>
        <w:t>3</w:t>
      </w:r>
      <w:r>
        <w:rPr>
          <w:b/>
          <w:bCs/>
          <w:sz w:val="22"/>
          <w:szCs w:val="22"/>
        </w:rPr>
        <w:t xml:space="preserve">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w:t>
      </w:r>
      <w:r>
        <w:rPr>
          <w:rFonts w:hint="default"/>
          <w:b/>
          <w:bCs/>
          <w:sz w:val="22"/>
          <w:szCs w:val="22"/>
          <w:lang w:val="pt-BR"/>
        </w:rPr>
        <w:t>4</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GERENCIA DE FINANÇAS</w:t>
            </w:r>
          </w:p>
        </w:tc>
      </w:tr>
    </w:tbl>
    <w:p>
      <w:pPr>
        <w:spacing w:line="20" w:lineRule="exact"/>
        <w:rPr>
          <w:sz w:val="22"/>
          <w:szCs w:val="22"/>
          <w:lang w:eastAsia="pt-BR"/>
        </w:rPr>
      </w:pP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GERENCIA DE FINANÇAS</w:t>
            </w:r>
          </w:p>
        </w:tc>
      </w:tr>
    </w:tbl>
    <w:p>
      <w:pPr>
        <w:rPr>
          <w:b/>
          <w:sz w:val="10"/>
          <w:szCs w:val="10"/>
          <w:lang w:eastAsia="pt-BR"/>
        </w:rPr>
      </w:pPr>
    </w:p>
    <w:tbl>
      <w:tblPr>
        <w:tblStyle w:val="12"/>
        <w:tblW w:w="9865" w:type="dxa"/>
        <w:tblInd w:w="-5" w:type="dxa"/>
        <w:tblLayout w:type="fixed"/>
        <w:tblCellMar>
          <w:top w:w="0" w:type="dxa"/>
          <w:left w:w="70" w:type="dxa"/>
          <w:bottom w:w="0" w:type="dxa"/>
          <w:right w:w="70" w:type="dxa"/>
        </w:tblCellMar>
      </w:tblPr>
      <w:tblGrid>
        <w:gridCol w:w="1064"/>
        <w:gridCol w:w="991"/>
        <w:gridCol w:w="993"/>
        <w:gridCol w:w="1133"/>
        <w:gridCol w:w="710"/>
        <w:gridCol w:w="1276"/>
        <w:gridCol w:w="1986"/>
        <w:gridCol w:w="1710"/>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Órgão/Unidade</w:t>
            </w:r>
          </w:p>
        </w:tc>
        <w:tc>
          <w:tcPr>
            <w:tcW w:w="991"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Função</w:t>
            </w:r>
          </w:p>
        </w:tc>
        <w:tc>
          <w:tcPr>
            <w:tcW w:w="99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Sub Função</w:t>
            </w:r>
          </w:p>
        </w:tc>
        <w:tc>
          <w:tcPr>
            <w:tcW w:w="113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Programa</w:t>
            </w:r>
          </w:p>
        </w:tc>
        <w:tc>
          <w:tcPr>
            <w:tcW w:w="710"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Destino</w:t>
            </w:r>
          </w:p>
        </w:tc>
        <w:tc>
          <w:tcPr>
            <w:tcW w:w="127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Projeto/Atividade</w:t>
            </w:r>
          </w:p>
        </w:tc>
        <w:tc>
          <w:tcPr>
            <w:tcW w:w="198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Elemento de Despesa</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widowControl w:val="0"/>
              <w:snapToGrid w:val="0"/>
              <w:jc w:val="center"/>
              <w:rPr>
                <w:b/>
                <w:color w:val="FF0000"/>
                <w:sz w:val="22"/>
                <w:szCs w:val="22"/>
                <w:lang w:eastAsia="pt-BR"/>
              </w:rPr>
            </w:pPr>
          </w:p>
        </w:tc>
        <w:tc>
          <w:tcPr>
            <w:tcW w:w="991"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4</w:t>
            </w:r>
          </w:p>
        </w:tc>
        <w:tc>
          <w:tcPr>
            <w:tcW w:w="99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123</w:t>
            </w:r>
          </w:p>
        </w:tc>
        <w:tc>
          <w:tcPr>
            <w:tcW w:w="113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302</w:t>
            </w:r>
          </w:p>
        </w:tc>
        <w:tc>
          <w:tcPr>
            <w:tcW w:w="710"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2</w:t>
            </w:r>
          </w:p>
        </w:tc>
        <w:tc>
          <w:tcPr>
            <w:tcW w:w="127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6</w:t>
            </w:r>
          </w:p>
        </w:tc>
        <w:tc>
          <w:tcPr>
            <w:tcW w:w="198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339039990000</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b/>
                <w:color w:val="FF0000"/>
                <w:sz w:val="22"/>
                <w:szCs w:val="22"/>
                <w:lang w:eastAsia="pt-BR"/>
              </w:rPr>
            </w:pPr>
            <w:r>
              <w:rPr>
                <w:b/>
                <w:color w:val="FF0000"/>
                <w:sz w:val="22"/>
                <w:szCs w:val="22"/>
                <w:lang w:eastAsia="pt-BR"/>
              </w:rPr>
              <w:t>7581</w:t>
            </w:r>
          </w:p>
        </w:tc>
      </w:tr>
    </w:tbl>
    <w:p>
      <w:pPr>
        <w:jc w:val="both"/>
        <w:rPr>
          <w:sz w:val="22"/>
          <w:szCs w:val="22"/>
        </w:rPr>
      </w:pPr>
    </w:p>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4"/>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4"/>
        <w:rPr>
          <w:bCs/>
          <w:iCs/>
          <w:sz w:val="22"/>
          <w:szCs w:val="22"/>
          <w:lang w:val="pt-BR"/>
        </w:rPr>
      </w:pPr>
    </w:p>
    <w:p>
      <w:pPr>
        <w:pStyle w:val="14"/>
        <w:numPr>
          <w:ilvl w:val="0"/>
          <w:numId w:val="8"/>
        </w:numPr>
        <w:rPr>
          <w:bCs/>
          <w:iCs/>
          <w:sz w:val="22"/>
          <w:szCs w:val="22"/>
        </w:rPr>
      </w:pPr>
      <w:r>
        <w:rPr>
          <w:bCs/>
          <w:iCs/>
          <w:sz w:val="22"/>
          <w:szCs w:val="22"/>
        </w:rPr>
        <w:t xml:space="preserve">advertência; </w:t>
      </w:r>
    </w:p>
    <w:p>
      <w:pPr>
        <w:pStyle w:val="14"/>
        <w:ind w:left="900" w:right="0" w:firstLine="0"/>
        <w:rPr>
          <w:bCs/>
          <w:iCs/>
          <w:sz w:val="22"/>
          <w:szCs w:val="22"/>
          <w:lang w:val="pt-BR"/>
        </w:rPr>
      </w:pPr>
    </w:p>
    <w:p>
      <w:pPr>
        <w:pStyle w:val="14"/>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4"/>
        <w:ind w:left="180" w:right="0" w:firstLine="0"/>
        <w:rPr>
          <w:b/>
          <w:iCs/>
          <w:sz w:val="22"/>
          <w:szCs w:val="22"/>
          <w:lang w:val="pt-BR"/>
        </w:rPr>
      </w:pPr>
    </w:p>
    <w:p>
      <w:pPr>
        <w:pStyle w:val="14"/>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4"/>
        <w:ind w:left="180" w:right="0" w:firstLine="0"/>
        <w:rPr>
          <w:bCs/>
          <w:iCs/>
          <w:sz w:val="22"/>
          <w:szCs w:val="22"/>
          <w:lang w:val="pt-BR"/>
        </w:rPr>
      </w:pPr>
    </w:p>
    <w:p>
      <w:pPr>
        <w:pStyle w:val="14"/>
        <w:ind w:left="180" w:right="0" w:firstLine="0"/>
        <w:rPr>
          <w:bCs/>
          <w:iCs/>
          <w:sz w:val="22"/>
          <w:szCs w:val="22"/>
        </w:rPr>
      </w:pPr>
      <w:r>
        <w:rPr>
          <w:bCs/>
          <w:iCs/>
          <w:sz w:val="22"/>
          <w:szCs w:val="22"/>
        </w:rPr>
        <w:t>IV- declaração de inidoneidade para licitar ou contratar com a Administração Pública.</w:t>
      </w:r>
    </w:p>
    <w:p>
      <w:pPr>
        <w:pStyle w:val="14"/>
        <w:rPr>
          <w:bCs/>
          <w:iCs/>
          <w:sz w:val="22"/>
          <w:szCs w:val="22"/>
        </w:rPr>
      </w:pPr>
    </w:p>
    <w:p>
      <w:pPr>
        <w:pStyle w:val="14"/>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4"/>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4"/>
        <w:rPr>
          <w:iCs/>
          <w:sz w:val="22"/>
          <w:szCs w:val="22"/>
        </w:rPr>
      </w:pPr>
    </w:p>
    <w:p>
      <w:pPr>
        <w:pStyle w:val="14"/>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rFonts w:eastAsia="MS Mincho;ＭＳ 明朝"/>
                <w:b/>
                <w:sz w:val="22"/>
                <w:szCs w:val="24"/>
                <w:lang w:eastAsia="pt-BR"/>
              </w:rPr>
            </w:pPr>
            <w:r>
              <w:rPr>
                <w:rFonts w:hint="default" w:eastAsia="MS Mincho"/>
                <w:b/>
                <w:sz w:val="22"/>
                <w:szCs w:val="24"/>
                <w:lang w:val="en-US" w:eastAsia="pt-BR"/>
              </w:rPr>
              <w:t>VIVIANE RIBEIRO BOGARIM CAPILÉ</w:t>
            </w:r>
          </w:p>
          <w:p>
            <w:pPr>
              <w:widowControl w:val="0"/>
              <w:tabs>
                <w:tab w:val="left" w:pos="5562"/>
              </w:tabs>
              <w:suppressAutoHyphens/>
              <w:overflowPunct w:val="0"/>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Ger. De Finanças e Ordenador</w:t>
            </w:r>
            <w:r>
              <w:rPr>
                <w:rFonts w:hint="default" w:eastAsia="MS Mincho;ＭＳ 明朝"/>
                <w:b/>
                <w:sz w:val="22"/>
                <w:szCs w:val="24"/>
                <w:lang w:val="en-US" w:eastAsia="pt-BR"/>
              </w:rPr>
              <w:t>a</w:t>
            </w:r>
            <w:r>
              <w:rPr>
                <w:rFonts w:eastAsia="MS Mincho;ＭＳ 明朝"/>
                <w:b/>
                <w:sz w:val="22"/>
                <w:szCs w:val="24"/>
                <w:lang w:eastAsia="pt-BR"/>
              </w:rPr>
              <w:t xml:space="preserve"> de Despesas</w:t>
            </w:r>
          </w:p>
          <w:p>
            <w:pPr>
              <w:widowControl w:val="0"/>
              <w:tabs>
                <w:tab w:val="left" w:pos="5562"/>
              </w:tabs>
              <w:suppressAutoHyphens/>
              <w:overflowPunct w:val="0"/>
              <w:spacing w:line="276" w:lineRule="auto"/>
              <w:ind w:left="0" w:right="33" w:firstLine="0"/>
              <w:jc w:val="center"/>
              <w:rPr>
                <w:rFonts w:hint="default" w:eastAsia="MS Mincho;ＭＳ 明朝"/>
                <w:b/>
                <w:sz w:val="22"/>
                <w:szCs w:val="24"/>
                <w:lang w:val="en-US" w:eastAsia="pt-BR"/>
              </w:rPr>
            </w:pPr>
            <w:r>
              <w:rPr>
                <w:rFonts w:eastAsia="MS Mincho;ＭＳ 明朝"/>
                <w:b/>
                <w:sz w:val="22"/>
                <w:szCs w:val="24"/>
                <w:lang w:eastAsia="pt-BR"/>
              </w:rPr>
              <w:t>Conforme Decreto nº. 0</w:t>
            </w:r>
            <w:r>
              <w:rPr>
                <w:rFonts w:hint="default" w:eastAsia="MS Mincho;ＭＳ 明朝"/>
                <w:b/>
                <w:sz w:val="22"/>
                <w:szCs w:val="24"/>
                <w:lang w:val="en-US" w:eastAsia="pt-BR"/>
              </w:rPr>
              <w:t>34</w:t>
            </w:r>
            <w:r>
              <w:rPr>
                <w:rFonts w:eastAsia="MS Mincho;ＭＳ 明朝"/>
                <w:b/>
                <w:sz w:val="22"/>
                <w:szCs w:val="24"/>
                <w:lang w:eastAsia="pt-BR"/>
              </w:rPr>
              <w:t>/202</w:t>
            </w:r>
            <w:r>
              <w:rPr>
                <w:rFonts w:hint="default" w:eastAsia="MS Mincho;ＭＳ 明朝"/>
                <w:b/>
                <w:sz w:val="22"/>
                <w:szCs w:val="24"/>
                <w:lang w:val="en-US" w:eastAsia="pt-BR"/>
              </w:rPr>
              <w:t>2</w:t>
            </w:r>
          </w:p>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5" w:type="dxa"/>
          </w:tcPr>
          <w:p>
            <w:pPr>
              <w:widowControl w:val="0"/>
              <w:suppressAutoHyphens/>
              <w:overflowPunct w:val="0"/>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bl>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rPr>
          <w:b/>
          <w:sz w:val="24"/>
          <w:szCs w:val="24"/>
        </w:rPr>
      </w:pPr>
      <w:r>
        <w:rPr>
          <w:b/>
          <w:sz w:val="24"/>
          <w:szCs w:val="24"/>
        </w:rPr>
        <w:br w:type="page"/>
      </w: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226 / 2023</w:t>
      </w:r>
    </w:p>
    <w:p>
      <w:pPr>
        <w:tabs>
          <w:tab w:val="left" w:pos="10632"/>
          <w:tab w:val="left" w:pos="10773"/>
          <w:tab w:val="left" w:pos="10915"/>
          <w:tab w:val="left" w:pos="11199"/>
        </w:tabs>
        <w:spacing w:line="360" w:lineRule="auto"/>
        <w:jc w:val="both"/>
      </w:pPr>
      <w:r>
        <w:rPr>
          <w:b/>
          <w:sz w:val="24"/>
          <w:szCs w:val="24"/>
        </w:rPr>
        <w:t>PREGÃO PRESENCIAL Nº 89 / 2023</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OBJETO: CONTRATAÇÃO DE EMPRESA ESPECIALIZADA PARA PRESTAÇÃO DE SERVIÇOS TÉCNICOS PARA A REESTRUTURAÇÃO, REVISÃO E ACOMPANHAMENTO DO VALOR ADICIONADO QUE COMPÕE A BASE DE CÁLCULO DA DISTRIBUIÇÃO DO ICMS DO MUNICÍPIO DE NAVIRAÍ-MS. SOLICITAÇÃO DA GERÊNCIA DE FINANÇAS DO MUNICIPIO DE NAVIRAÍ-MS.PEDIDO DE COMPRAS  Nº 253/2023.</w:t>
      </w:r>
    </w:p>
    <w:p>
      <w:pPr>
        <w:tabs>
          <w:tab w:val="left" w:pos="10915"/>
        </w:tabs>
        <w:spacing w:line="274" w:lineRule="exact"/>
        <w:rPr>
          <w:b/>
          <w:sz w:val="24"/>
          <w:szCs w:val="24"/>
        </w:rPr>
      </w:pPr>
    </w:p>
    <w:p>
      <w:pPr>
        <w:jc w:val="both"/>
      </w:pPr>
      <w:r>
        <w:rPr>
          <w:rFonts w:hint="default"/>
          <w:b/>
          <w:bCs/>
          <w:sz w:val="24"/>
          <w:szCs w:val="24"/>
          <w:u w:val="single"/>
          <w:lang w:val="pt-BR"/>
        </w:rPr>
        <w:t>Viviane Ribeiro Bogarin Capilé</w:t>
      </w:r>
      <w:r>
        <w:rPr>
          <w:rFonts w:hint="default"/>
          <w:sz w:val="24"/>
          <w:szCs w:val="24"/>
          <w:lang w:val="pt-BR"/>
        </w:rPr>
        <w:t>, Gerente de Finanças e Ordenadora de Despesas Conforme Decreto nº 034/2022, brasileira portadora do CPF/MS º 711.286.101-53 e Cédula de Identidade RG nº 949.042 SSP/MS, residente e domiciliada nesta cidade, à Rua Enoque Antonio de Aquino, 506 - Centro</w:t>
      </w:r>
      <w:r>
        <w:rPr>
          <w:rFonts w:eastAsia="Times New Roman"/>
          <w:iCs/>
          <w:sz w:val="24"/>
          <w:szCs w:val="24"/>
        </w:rPr>
        <w:t>, em conformidade com o art. 67 da Lei n° 8.666 de 21 de junho de 1993</w:t>
      </w:r>
      <w:r>
        <w:rPr>
          <w:iCs/>
          <w:sz w:val="24"/>
          <w:szCs w:val="24"/>
        </w:rPr>
        <w:t>,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fixed"/>
        <w:tblCellMar>
          <w:top w:w="15" w:type="dxa"/>
          <w:left w:w="15" w:type="dxa"/>
          <w:bottom w:w="0" w:type="dxa"/>
          <w:right w:w="15" w:type="dxa"/>
        </w:tblCellMar>
      </w:tblPr>
      <w:tblGrid>
        <w:gridCol w:w="3059"/>
        <w:gridCol w:w="1776"/>
        <w:gridCol w:w="1419"/>
        <w:gridCol w:w="1840"/>
        <w:gridCol w:w="1251"/>
      </w:tblGrid>
      <w:tr>
        <w:tblPrEx>
          <w:tblCellMar>
            <w:top w:w="15" w:type="dxa"/>
            <w:left w:w="15" w:type="dxa"/>
            <w:bottom w:w="0" w:type="dxa"/>
            <w:right w:w="15" w:type="dxa"/>
          </w:tblCellMar>
        </w:tblPrEx>
        <w:trPr>
          <w:trHeight w:val="315" w:hRule="atLeast"/>
        </w:trPr>
        <w:tc>
          <w:tcPr>
            <w:tcW w:w="3059" w:type="dxa"/>
            <w:vMerge w:val="restart"/>
            <w:tcBorders>
              <w:top w:val="single" w:color="000000" w:sz="4" w:space="0"/>
              <w:left w:val="single" w:color="000000" w:sz="4" w:space="0"/>
              <w:bottom w:val="single" w:color="000000" w:sz="4" w:space="0"/>
            </w:tcBorders>
            <w:shd w:val="clear" w:color="auto" w:fill="F2F2F2"/>
            <w:vAlign w:val="bottom"/>
          </w:tcPr>
          <w:p>
            <w:pPr>
              <w:widowControl w:val="0"/>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widowControl w:val="0"/>
              <w:jc w:val="center"/>
              <w:rPr>
                <w:b/>
                <w:bCs/>
                <w:color w:val="000000"/>
                <w:sz w:val="24"/>
                <w:szCs w:val="24"/>
              </w:rPr>
            </w:pPr>
            <w:r>
              <w:rPr>
                <w:b/>
                <w:bCs/>
                <w:color w:val="000000"/>
                <w:sz w:val="24"/>
                <w:szCs w:val="24"/>
              </w:rPr>
              <w:t>FISCAL TITULAR</w:t>
            </w:r>
          </w:p>
        </w:tc>
        <w:tc>
          <w:tcPr>
            <w:tcW w:w="3091"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widowControl w:val="0"/>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59" w:type="dxa"/>
            <w:vMerge w:val="continue"/>
            <w:tcBorders>
              <w:top w:val="single" w:color="000000" w:sz="4" w:space="0"/>
              <w:left w:val="single" w:color="000000" w:sz="4" w:space="0"/>
              <w:bottom w:val="single" w:color="000000" w:sz="4" w:space="0"/>
            </w:tcBorders>
            <w:shd w:val="clear" w:color="auto" w:fill="F2F2F2"/>
            <w:vAlign w:val="bottom"/>
          </w:tcPr>
          <w:p>
            <w:pPr>
              <w:widowControl w:val="0"/>
            </w:pPr>
          </w:p>
        </w:tc>
        <w:tc>
          <w:tcPr>
            <w:tcW w:w="1776" w:type="dxa"/>
            <w:tcBorders>
              <w:left w:val="single" w:color="000000" w:sz="4" w:space="0"/>
            </w:tcBorders>
            <w:vAlign w:val="center"/>
          </w:tcPr>
          <w:p>
            <w:pPr>
              <w:widowControl w:val="0"/>
              <w:jc w:val="center"/>
              <w:rPr>
                <w:color w:val="000000"/>
                <w:sz w:val="24"/>
                <w:szCs w:val="24"/>
              </w:rPr>
            </w:pPr>
            <w:r>
              <w:rPr>
                <w:color w:val="000000"/>
                <w:sz w:val="24"/>
                <w:szCs w:val="24"/>
              </w:rPr>
              <w:t>Nome:</w:t>
            </w:r>
          </w:p>
        </w:tc>
        <w:tc>
          <w:tcPr>
            <w:tcW w:w="1419" w:type="dxa"/>
            <w:tcBorders>
              <w:lef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Nome:</w:t>
            </w:r>
          </w:p>
        </w:tc>
        <w:tc>
          <w:tcPr>
            <w:tcW w:w="1251" w:type="dxa"/>
            <w:tcBorders>
              <w:left w:val="single" w:color="000000" w:sz="4" w:space="0"/>
              <w:righ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59" w:type="dxa"/>
            <w:tcBorders>
              <w:left w:val="single" w:color="000000" w:sz="4" w:space="0"/>
              <w:bottom w:val="single" w:color="000000" w:sz="4" w:space="0"/>
            </w:tcBorders>
            <w:vAlign w:val="center"/>
          </w:tcPr>
          <w:p>
            <w:pPr>
              <w:widowControl w:val="0"/>
              <w:rPr>
                <w:color w:val="000000"/>
                <w:sz w:val="24"/>
                <w:szCs w:val="24"/>
              </w:rPr>
            </w:pPr>
            <w:r>
              <w:rPr>
                <w:color w:val="000000"/>
                <w:sz w:val="24"/>
                <w:szCs w:val="24"/>
              </w:rPr>
              <w:t>Gerência de Finanças</w:t>
            </w:r>
          </w:p>
        </w:tc>
        <w:tc>
          <w:tcPr>
            <w:tcW w:w="1776" w:type="dxa"/>
            <w:tcBorders>
              <w:left w:val="single" w:color="000000" w:sz="4" w:space="0"/>
              <w:bottom w:val="single" w:color="000000" w:sz="4" w:space="0"/>
            </w:tcBorders>
            <w:tcMar>
              <w:top w:w="0" w:type="dxa"/>
              <w:left w:w="0" w:type="dxa"/>
              <w:right w:w="0" w:type="dxa"/>
            </w:tcMar>
            <w:vAlign w:val="center"/>
          </w:tcPr>
          <w:p>
            <w:pPr>
              <w:widowControl w:val="0"/>
              <w:rPr>
                <w:color w:val="000000"/>
                <w:sz w:val="24"/>
                <w:szCs w:val="24"/>
              </w:rPr>
            </w:pPr>
            <w:r>
              <w:rPr>
                <w:color w:val="000000"/>
                <w:sz w:val="24"/>
                <w:szCs w:val="24"/>
              </w:rPr>
              <w:t> </w:t>
            </w:r>
          </w:p>
        </w:tc>
        <w:tc>
          <w:tcPr>
            <w:tcW w:w="1419" w:type="dxa"/>
            <w:tcBorders>
              <w:left w:val="single" w:color="000000" w:sz="4" w:space="0"/>
              <w:bottom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widowControl w:val="0"/>
              <w:rPr>
                <w:color w:val="000000"/>
                <w:sz w:val="24"/>
                <w:szCs w:val="24"/>
              </w:rPr>
            </w:pPr>
            <w:r>
              <w:rPr>
                <w:color w:val="000000"/>
                <w:sz w:val="24"/>
                <w:szCs w:val="24"/>
              </w:rPr>
              <w:t> </w:t>
            </w:r>
          </w:p>
        </w:tc>
        <w:tc>
          <w:tcPr>
            <w:tcW w:w="1251" w:type="dxa"/>
            <w:tcBorders>
              <w:left w:val="single" w:color="000000" w:sz="4" w:space="0"/>
              <w:bottom w:val="single" w:color="000000" w:sz="4" w:space="0"/>
              <w:righ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rFonts w:hint="default" w:eastAsia="MS Mincho"/>
                <w:b/>
                <w:sz w:val="22"/>
                <w:szCs w:val="24"/>
                <w:lang w:val="en-US" w:eastAsia="pt-BR"/>
              </w:rPr>
            </w:pPr>
            <w:r>
              <w:rPr>
                <w:rFonts w:hint="default" w:eastAsia="MS Mincho"/>
                <w:b/>
                <w:sz w:val="22"/>
                <w:szCs w:val="24"/>
                <w:lang w:val="en-US" w:eastAsia="pt-BR"/>
              </w:rPr>
              <w:t>VIVIANE RIBEIRO BOGARIM CAPILÉ</w:t>
            </w:r>
          </w:p>
          <w:p>
            <w:pPr>
              <w:widowControl w:val="0"/>
              <w:tabs>
                <w:tab w:val="left" w:pos="5562"/>
              </w:tabs>
              <w:suppressAutoHyphens/>
              <w:overflowPunct w:val="0"/>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Ger. De Finanças e Ordenador</w:t>
            </w:r>
            <w:r>
              <w:rPr>
                <w:rFonts w:hint="default" w:eastAsia="MS Mincho;ＭＳ 明朝"/>
                <w:b/>
                <w:sz w:val="22"/>
                <w:szCs w:val="24"/>
                <w:lang w:val="en-US" w:eastAsia="pt-BR"/>
              </w:rPr>
              <w:t>a</w:t>
            </w:r>
            <w:r>
              <w:rPr>
                <w:rFonts w:eastAsia="MS Mincho;ＭＳ 明朝"/>
                <w:b/>
                <w:sz w:val="22"/>
                <w:szCs w:val="24"/>
                <w:lang w:eastAsia="pt-BR"/>
              </w:rPr>
              <w:t xml:space="preserve"> de Despesas</w:t>
            </w:r>
          </w:p>
          <w:p>
            <w:pPr>
              <w:widowControl w:val="0"/>
              <w:tabs>
                <w:tab w:val="left" w:pos="5562"/>
              </w:tabs>
              <w:suppressAutoHyphens/>
              <w:overflowPunct w:val="0"/>
              <w:spacing w:line="276" w:lineRule="auto"/>
              <w:ind w:left="0" w:right="33" w:firstLine="0"/>
              <w:jc w:val="center"/>
              <w:rPr>
                <w:rFonts w:hint="default" w:eastAsia="MS Mincho;ＭＳ 明朝"/>
                <w:b/>
                <w:sz w:val="22"/>
                <w:szCs w:val="24"/>
                <w:lang w:val="en-US" w:eastAsia="pt-BR"/>
              </w:rPr>
            </w:pPr>
            <w:r>
              <w:rPr>
                <w:rFonts w:eastAsia="MS Mincho;ＭＳ 明朝"/>
                <w:b/>
                <w:sz w:val="22"/>
                <w:szCs w:val="24"/>
                <w:lang w:eastAsia="pt-BR"/>
              </w:rPr>
              <w:t xml:space="preserve">Conforme Decreto nº. </w:t>
            </w:r>
            <w:r>
              <w:rPr>
                <w:rFonts w:hint="default" w:eastAsia="MS Mincho;ＭＳ 明朝"/>
                <w:b/>
                <w:sz w:val="22"/>
                <w:szCs w:val="24"/>
                <w:lang w:val="en-US" w:eastAsia="pt-BR"/>
              </w:rPr>
              <w:t>034/2022</w:t>
            </w:r>
          </w:p>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5" w:type="dxa"/>
          </w:tcPr>
          <w:p>
            <w:pPr>
              <w:widowControl w:val="0"/>
              <w:suppressAutoHyphens/>
              <w:overflowPunct w:val="0"/>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tabs>
          <w:tab w:val="left" w:pos="10632"/>
          <w:tab w:val="left" w:pos="10773"/>
          <w:tab w:val="left" w:pos="10915"/>
          <w:tab w:val="left" w:pos="11199"/>
        </w:tabs>
        <w:spacing w:line="360" w:lineRule="auto"/>
        <w:jc w:val="both"/>
        <w:rPr>
          <w:b/>
          <w:bCs/>
          <w:sz w:val="22"/>
          <w:szCs w:val="24"/>
        </w:rPr>
      </w:pPr>
    </w:p>
    <w:p>
      <w:pPr>
        <w:tabs>
          <w:tab w:val="left" w:pos="10632"/>
          <w:tab w:val="left" w:pos="10773"/>
          <w:tab w:val="left" w:pos="10915"/>
          <w:tab w:val="left" w:pos="11199"/>
        </w:tabs>
        <w:spacing w:line="360" w:lineRule="auto"/>
        <w:jc w:val="both"/>
        <w:rPr>
          <w:b/>
          <w:sz w:val="22"/>
        </w:rPr>
      </w:pPr>
    </w:p>
    <w:p>
      <w:pPr>
        <w:tabs>
          <w:tab w:val="left" w:pos="11057"/>
        </w:tabs>
        <w:spacing w:before="1" w:after="0" w:line="360" w:lineRule="auto"/>
        <w:ind w:left="0" w:right="0" w:firstLine="60"/>
        <w:rPr>
          <w:b/>
          <w:sz w:val="22"/>
          <w:szCs w:val="22"/>
        </w:rPr>
      </w:pPr>
    </w:p>
    <w:p>
      <w:pPr>
        <w:widowControl w:val="0"/>
        <w:jc w:val="right"/>
        <w:rPr>
          <w:b/>
          <w:i/>
          <w:iCs/>
          <w:sz w:val="22"/>
          <w:szCs w:val="22"/>
        </w:rPr>
      </w:pPr>
    </w:p>
    <w:p>
      <w:pPr>
        <w:jc w:val="center"/>
        <w:rPr>
          <w:b/>
          <w:bCs/>
          <w:i/>
          <w:iCs/>
          <w:sz w:val="22"/>
          <w:szCs w:val="22"/>
        </w:rPr>
      </w:pPr>
    </w:p>
    <w:p>
      <w:pPr>
        <w:jc w:val="center"/>
        <w:rPr>
          <w:b/>
          <w:bCs/>
          <w:sz w:val="22"/>
          <w:szCs w:val="22"/>
        </w:rPr>
      </w:pPr>
    </w:p>
    <w:p>
      <w:pPr>
        <w:jc w:val="center"/>
      </w:pPr>
      <w:r>
        <w:rPr>
          <w:b/>
          <w:bCs/>
          <w:sz w:val="22"/>
          <w:szCs w:val="22"/>
        </w:rPr>
        <w:t>PREGÃO PRESENCIAL N° 89/2023</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7"/>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89/2023</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89/2023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89/2023</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89/2023</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pPr>
      <w:r>
        <w:rPr>
          <w:b/>
          <w:bCs/>
          <w:sz w:val="22"/>
          <w:szCs w:val="22"/>
        </w:rPr>
        <w:t>PREGÃO PRESENCIAL N° 89/2023</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4"/>
          <w:szCs w:val="24"/>
        </w:rPr>
      </w:pPr>
      <w:r>
        <w:rPr>
          <w:sz w:val="24"/>
          <w:szCs w:val="24"/>
        </w:rPr>
        <w:br w:type="page"/>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jc w:val="center"/>
      </w:pPr>
      <w:r>
        <w:rPr>
          <w:b/>
          <w:bCs/>
          <w:sz w:val="22"/>
          <w:szCs w:val="22"/>
        </w:rPr>
        <w:t>PREGÃO PRESENCIAL N° 89/2023</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val="0"/>
        <w:spacing w:before="0" w:after="200" w:line="276" w:lineRule="auto"/>
        <w:jc w:val="both"/>
        <w:textAlignment w:val="auto"/>
        <w:rPr>
          <w:sz w:val="24"/>
          <w:szCs w:val="24"/>
        </w:rPr>
      </w:pPr>
      <w:r>
        <w:rPr>
          <w:sz w:val="24"/>
          <w:szCs w:val="24"/>
        </w:rPr>
        <w:t>NOME:</w:t>
      </w:r>
    </w:p>
    <w:p>
      <w:pPr>
        <w:overflowPunct w:val="0"/>
        <w:spacing w:before="0" w:after="200" w:line="276" w:lineRule="auto"/>
        <w:jc w:val="both"/>
        <w:textAlignment w:val="auto"/>
        <w:rPr>
          <w:sz w:val="24"/>
          <w:szCs w:val="24"/>
        </w:rPr>
      </w:pPr>
      <w:r>
        <w:rPr>
          <w:sz w:val="24"/>
          <w:szCs w:val="24"/>
        </w:rPr>
        <w:t>CPF Nº:</w:t>
      </w:r>
    </w:p>
    <w:p>
      <w:pPr>
        <w:overflowPunct w:val="0"/>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0"/>
    <w:family w:val="roman"/>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Garamond">
    <w:altName w:val="Liberation Mono"/>
    <w:panose1 w:val="00000000000000000000"/>
    <w:charset w:val="00"/>
    <w:family w:val="roman"/>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Times-Roman">
    <w:altName w:val="Times New Roman"/>
    <w:panose1 w:val="00000000000000000000"/>
    <w:charset w:val="00"/>
    <w:family w:val="auto"/>
    <w:pitch w:val="default"/>
    <w:sig w:usb0="00000000" w:usb1="00000000" w:usb2="00000000" w:usb3="00000000" w:csb0="00040001"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 w:name="MS Mincho">
    <w:panose1 w:val="02020609040205080304"/>
    <w:charset w:val="80"/>
    <w:family w:val="modern"/>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3175" distB="3175" distL="3175" distR="3175" simplePos="0" relativeHeight="251659264" behindDoc="1" locked="0" layoutInCell="0" allowOverlap="1">
              <wp:simplePos x="0" y="0"/>
              <wp:positionH relativeFrom="column">
                <wp:posOffset>14605</wp:posOffset>
              </wp:positionH>
              <wp:positionV relativeFrom="paragraph">
                <wp:posOffset>90805</wp:posOffset>
              </wp:positionV>
              <wp:extent cx="5761355" cy="1270"/>
              <wp:effectExtent l="0" t="0" r="0" b="0"/>
              <wp:wrapNone/>
              <wp:docPr id="3" name="Figura2"/>
              <wp:cNvGraphicFramePr/>
              <a:graphic xmlns:a="http://schemas.openxmlformats.org/drawingml/2006/main">
                <a:graphicData uri="http://schemas.microsoft.com/office/word/2010/wordprocessingShape">
                  <wps:wsp>
                    <wps:cNvCnPr/>
                    <wps:spPr>
                      <a:xfrm flipV="1">
                        <a:off x="0" y="0"/>
                        <a:ext cx="576072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2" o:spid="_x0000_s1026" o:spt="20" style="position:absolute;left:0pt;flip:y;margin-left:1.15pt;margin-top:7.15pt;height:0.1pt;width:453.65pt;z-index:-251657216;mso-width-relative:page;mso-height-relative:page;" filled="f" stroked="t" coordsize="21600,21600" o:allowincell="f" o:gfxdata="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VK7620gAAAAcB&#10;AAAPAAAAAAAAAAEAIAAAACIAAABkcnMvZG93bnJldi54bWxQSwECFAAUAAAACACHTuJAfadwYK8B&#10;AABsAwAADgAAAAAAAAABACAAAAAhAQAAZHJzL2Uyb0RvYy54bWxQSwUGAAAAAAYABgBZAQAAQgUA&#10;AAAA&#10;">
              <v:fill on="f" focussize="0,0"/>
              <v:stroke weight="0.510236220472441pt" color="#008000" joinstyle="miter"/>
              <v:imagedata o:title=""/>
              <o:lock v:ext="edit" aspectratio="f"/>
            </v:line>
          </w:pict>
        </mc:Fallback>
      </mc:AlternateContent>
    </w:r>
  </w:p>
  <w:p>
    <w:pPr>
      <w:pStyle w:val="20"/>
      <w:tabs>
        <w:tab w:val="right" w:pos="8222"/>
        <w:tab w:val="clear" w:pos="8838"/>
      </w:tabs>
      <w:ind w:left="-1418" w:right="-521" w:firstLine="0"/>
      <w:jc w:val="center"/>
    </w:pPr>
    <w:r>
      <w:rPr>
        <w:rFonts w:hint="default" w:ascii="Garamond" w:hAnsi="Garamond" w:cs="Garamond"/>
        <w:b/>
        <w:iCs/>
        <w:color w:val="0000FF"/>
        <w:sz w:val="20"/>
        <w:lang w:val="pt-BR"/>
      </w:rPr>
      <w:t>Avenida Weimar Gonçalves Torres, 862</w:t>
    </w:r>
    <w:r>
      <w:rPr>
        <w:rFonts w:ascii="Garamond" w:hAnsi="Garamond" w:cs="Garamond"/>
        <w:b/>
        <w:iCs/>
        <w:color w:val="0000FF"/>
        <w:sz w:val="20"/>
      </w:rPr>
      <w:t xml:space="preserve"> – Telefax (0**67) 3409-1500 – Cep 79950-000 – e-mail: </w:t>
    </w:r>
    <w:r>
      <w:rPr>
        <w:rFonts w:ascii="Garamond" w:hAnsi="Garamond" w:cs="Garamond"/>
        <w:b/>
        <w:iCs/>
        <w:color w:val="0000FF"/>
        <w:sz w:val="20"/>
        <w:lang w:val="pt-BR"/>
      </w:rPr>
      <w:t>pregaonavirai@gmail.com</w:t>
    </w:r>
  </w:p>
  <w:p>
    <w:pPr>
      <w:pStyle w:val="20"/>
      <w:tabs>
        <w:tab w:val="right" w:pos="8222"/>
        <w:tab w:val="clear" w:pos="8838"/>
      </w:tabs>
      <w:ind w:left="0" w:right="-96" w:firstLine="0"/>
      <w:jc w:val="center"/>
    </w:pPr>
    <w:r>
      <w:rPr>
        <w:rStyle w:val="114"/>
        <w:rFonts w:ascii="Garamond" w:hAnsi="Garamond" w:cs="Garamond"/>
        <w:sz w:val="20"/>
      </w:rPr>
      <w:fldChar w:fldCharType="begin"/>
    </w:r>
    <w:r>
      <w:rPr>
        <w:rStyle w:val="114"/>
        <w:rFonts w:ascii="Garamond" w:hAnsi="Garamond" w:cs="Garamond"/>
        <w:sz w:val="20"/>
      </w:rPr>
      <w:instrText xml:space="preserve">PAGE</w:instrText>
    </w:r>
    <w:r>
      <w:rPr>
        <w:rStyle w:val="114"/>
        <w:rFonts w:ascii="Garamond" w:hAnsi="Garamond" w:cs="Garamond"/>
        <w:sz w:val="20"/>
      </w:rPr>
      <w:fldChar w:fldCharType="separate"/>
    </w:r>
    <w:r>
      <w:rPr>
        <w:rStyle w:val="114"/>
        <w:rFonts w:ascii="Garamond" w:hAnsi="Garamond" w:cs="Garamond"/>
        <w:sz w:val="20"/>
      </w:rPr>
      <w:t>35</w:t>
    </w:r>
    <w:r>
      <w:rPr>
        <w:rStyle w:val="114"/>
        <w:rFonts w:ascii="Garamond" w:hAnsi="Garamond" w:cs="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lang w:val="pt-BR" w:eastAsia="pt-BR"/>
      </w:rPr>
    </w:pPr>
    <w:r>
      <w:rPr>
        <w:lang w:val="pt-BR" w:eastAsia="pt-BR"/>
      </w:rPr>
      <w:drawing>
        <wp:anchor distT="0" distB="0" distL="0" distR="0" simplePos="0" relativeHeight="251659264" behindDoc="1" locked="0" layoutInCell="0"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40" t="-46" r="-40" b="-46"/>
                  <a:stretch>
                    <a:fillRect/>
                  </a:stretch>
                </pic:blipFill>
                <pic:spPr>
                  <a:xfrm>
                    <a:off x="0" y="0"/>
                    <a:ext cx="998220" cy="862330"/>
                  </a:xfrm>
                  <a:prstGeom prst="rect">
                    <a:avLst/>
                  </a:prstGeom>
                </pic:spPr>
              </pic:pic>
            </a:graphicData>
          </a:graphic>
        </wp:anchor>
      </w:drawing>
    </w:r>
  </w:p>
  <w:p>
    <w:pPr>
      <w:pStyle w:val="2"/>
      <w:ind w:left="1134" w:right="-241" w:firstLine="0"/>
      <w:rPr>
        <w:rFonts w:ascii="Garamond" w:hAnsi="Garamond" w:cs="Garamond"/>
        <w:b/>
        <w:bCs/>
        <w:i w:val="0"/>
        <w:iCs/>
        <w:sz w:val="26"/>
      </w:rPr>
    </w:pPr>
    <w:r>
      <w:rPr>
        <w:rFonts w:ascii="Garamond" w:hAnsi="Garamond" w:cs="Garamond"/>
        <w:b/>
        <w:bCs/>
        <w:i w:val="0"/>
        <w:iCs/>
        <w:sz w:val="26"/>
      </w:rPr>
      <w:t>PREFEITURA MUNICIPAL DE NAVIRAÍ</w:t>
    </w:r>
  </w:p>
  <w:p>
    <w:pPr>
      <w:ind w:left="1134" w:right="-241" w:firstLine="0"/>
      <w:jc w:val="center"/>
      <w:rPr>
        <w:rFonts w:ascii="Garamond" w:hAnsi="Garamond" w:cs="Garamond"/>
        <w:b/>
        <w:bCs/>
        <w:iCs/>
        <w:sz w:val="26"/>
      </w:rPr>
    </w:pPr>
    <w:r>
      <w:rPr>
        <w:rFonts w:ascii="Garamond" w:hAnsi="Garamond" w:cs="Garamond"/>
        <w:b/>
        <w:bCs/>
        <w:iCs/>
        <w:sz w:val="26"/>
      </w:rPr>
      <w:t>ESTADO DE MATO GROSSO DO SUL</w:t>
    </w:r>
  </w:p>
  <w:p>
    <w:pPr>
      <w:pStyle w:val="19"/>
      <w:tabs>
        <w:tab w:val="center" w:pos="5267"/>
      </w:tabs>
      <w:ind w:left="1134" w:right="0" w:firstLine="0"/>
      <w:jc w:val="center"/>
      <w:rPr>
        <w:rFonts w:ascii="Garamond" w:hAnsi="Garamond" w:cs="Garamond"/>
        <w:b/>
        <w:bCs/>
        <w:iCs/>
        <w:sz w:val="26"/>
      </w:rPr>
    </w:pPr>
    <w:r>
      <w:rPr>
        <w:rFonts w:ascii="Garamond" w:hAnsi="Garamond" w:cs="Garamond"/>
        <w:b/>
        <w:bCs/>
        <w:iCs/>
        <w:sz w:val="26"/>
      </w:rPr>
      <w:t>GERÊNCIA DE FINANÇAS</w:t>
    </w:r>
  </w:p>
  <w:p>
    <w:pPr>
      <w:tabs>
        <w:tab w:val="center" w:pos="4419"/>
        <w:tab w:val="right" w:pos="8838"/>
      </w:tabs>
      <w:overflowPunct w:val="0"/>
      <w:ind w:left="1418" w:right="0" w:firstLine="0"/>
      <w:jc w:val="center"/>
      <w:textAlignment w:val="auto"/>
      <w:rPr>
        <w:rFonts w:cs="David"/>
        <w:sz w:val="24"/>
        <w:szCs w:val="24"/>
        <w:lang w:eastAsia="pt-BR"/>
      </w:rPr>
    </w:pPr>
    <w:r>
      <mc:AlternateContent>
        <mc:Choice Requires="wps">
          <w:drawing>
            <wp:anchor distT="6350" distB="6350" distL="6350" distR="6350" simplePos="0" relativeHeight="251659264" behindDoc="1" locked="0" layoutInCell="0" allowOverlap="1">
              <wp:simplePos x="0" y="0"/>
              <wp:positionH relativeFrom="column">
                <wp:posOffset>-1143635</wp:posOffset>
              </wp:positionH>
              <wp:positionV relativeFrom="paragraph">
                <wp:posOffset>240030</wp:posOffset>
              </wp:positionV>
              <wp:extent cx="7561580" cy="2540"/>
              <wp:effectExtent l="0" t="0" r="0" b="0"/>
              <wp:wrapNone/>
              <wp:docPr id="2" name="Figura1"/>
              <wp:cNvGraphicFramePr/>
              <a:graphic xmlns:a="http://schemas.openxmlformats.org/drawingml/2006/main">
                <a:graphicData uri="http://schemas.microsoft.com/office/word/2010/wordprocessingShape">
                  <wps:wsp>
                    <wps:cNvCnPr/>
                    <wps:spPr>
                      <a:xfrm>
                        <a:off x="0" y="0"/>
                        <a:ext cx="7561080" cy="180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1" o:spid="_x0000_s1026" o:spt="20" style="position:absolute;left:0pt;margin-left:-90.05pt;margin-top:18.9pt;height:0.2pt;width:595.4pt;z-index:-251657216;mso-width-relative:page;mso-height-relative:page;" filled="f" stroked="t" coordsize="21600,21600" o:allowincell="f" o:gfxdata="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oE19kAAAALAQAA&#10;DwAAAAAAAAABACAAAAAiAAAAZHJzL2Rvd25yZXYueG1sUEsBAhQAFAAAAAgAh07iQKs1M9umAQAA&#10;ZAMAAA4AAAAAAAAAAQAgAAAAKAEAAGRycy9lMm9Eb2MueG1sUEsFBgAAAAAGAAYAWQEAAEAFAAAA&#10;AA==&#10;">
              <v:fill on="f" focussize="0,0"/>
              <v:stroke weight="0.992125984251969pt" color="#008000" joinstyle="miter"/>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lowerLetter"/>
      <w:lvlText w:val="%1)"/>
      <w:lvlJc w:val="left"/>
      <w:pPr>
        <w:tabs>
          <w:tab w:val="left" w:pos="1257"/>
        </w:tabs>
        <w:ind w:left="1257" w:hanging="69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
    <w:nsid w:val="BF205925"/>
    <w:multiLevelType w:val="multilevel"/>
    <w:tmpl w:val="BF205925"/>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2">
    <w:nsid w:val="CF092B84"/>
    <w:multiLevelType w:val="multilevel"/>
    <w:tmpl w:val="CF092B84"/>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pStyle w:val="7"/>
      <w:suff w:val="nothing"/>
      <w:lvlText w:val=""/>
      <w:lvlJc w:val="left"/>
      <w:pPr>
        <w:tabs>
          <w:tab w:val="left" w:pos="0"/>
        </w:tabs>
        <w:ind w:left="0" w:firstLine="0"/>
      </w:pPr>
    </w:lvl>
    <w:lvl w:ilvl="6" w:tentative="0">
      <w:start w:val="1"/>
      <w:numFmt w:val="none"/>
      <w:pStyle w:val="8"/>
      <w:suff w:val="nothing"/>
      <w:lvlText w:val=""/>
      <w:lvlJc w:val="left"/>
      <w:pPr>
        <w:tabs>
          <w:tab w:val="left" w:pos="0"/>
        </w:tabs>
        <w:ind w:left="0" w:firstLine="0"/>
      </w:pPr>
    </w:lvl>
    <w:lvl w:ilvl="7" w:tentative="0">
      <w:start w:val="1"/>
      <w:numFmt w:val="none"/>
      <w:pStyle w:val="9"/>
      <w:suff w:val="nothing"/>
      <w:lvlText w:val=""/>
      <w:lvlJc w:val="left"/>
      <w:pPr>
        <w:tabs>
          <w:tab w:val="left" w:pos="0"/>
        </w:tabs>
        <w:ind w:left="0" w:firstLine="0"/>
      </w:pPr>
    </w:lvl>
    <w:lvl w:ilvl="8" w:tentative="0">
      <w:start w:val="1"/>
      <w:numFmt w:val="none"/>
      <w:pStyle w:val="10"/>
      <w:suff w:val="nothing"/>
      <w:lvlText w:val=""/>
      <w:lvlJc w:val="left"/>
      <w:pPr>
        <w:tabs>
          <w:tab w:val="left" w:pos="0"/>
        </w:tabs>
        <w:ind w:left="0" w:firstLine="0"/>
      </w:pPr>
    </w:lvl>
  </w:abstractNum>
  <w:abstractNum w:abstractNumId="4">
    <w:nsid w:val="03D62ECE"/>
    <w:multiLevelType w:val="multilevel"/>
    <w:tmpl w:val="03D62ECE"/>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5">
    <w:nsid w:val="25B654F3"/>
    <w:multiLevelType w:val="multilevel"/>
    <w:tmpl w:val="25B654F3"/>
    <w:lvl w:ilvl="0" w:tentative="0">
      <w:start w:val="1"/>
      <w:numFmt w:val="upperRoman"/>
      <w:lvlText w:val="%1-"/>
      <w:lvlJc w:val="left"/>
      <w:pPr>
        <w:tabs>
          <w:tab w:val="left" w:pos="0"/>
        </w:tabs>
        <w:ind w:left="900" w:hanging="720"/>
      </w:pPr>
      <w:rPr>
        <w:lang w:val="pt-BR"/>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59ADCABA"/>
    <w:multiLevelType w:val="multilevel"/>
    <w:tmpl w:val="59ADCABA"/>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5E4CCB9A"/>
    <w:multiLevelType w:val="singleLevel"/>
    <w:tmpl w:val="5E4CCB9A"/>
    <w:lvl w:ilvl="0" w:tentative="0">
      <w:start w:val="2"/>
      <w:numFmt w:val="decimal"/>
      <w:suff w:val="space"/>
      <w:lvlText w:val="%1."/>
      <w:lvlJc w:val="left"/>
    </w:lvl>
  </w:abstractNum>
  <w:abstractNum w:abstractNumId="8">
    <w:nsid w:val="72183CF9"/>
    <w:multiLevelType w:val="multilevel"/>
    <w:tmpl w:val="72183CF9"/>
    <w:lvl w:ilvl="0" w:tentative="0">
      <w:start w:val="1"/>
      <w:numFmt w:val="upperRoman"/>
      <w:lvlText w:val="%1-"/>
      <w:lvlJc w:val="left"/>
      <w:pPr>
        <w:tabs>
          <w:tab w:val="left" w:pos="0"/>
        </w:tabs>
        <w:ind w:left="90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3"/>
  </w:num>
  <w:num w:numId="2">
    <w:abstractNumId w:val="2"/>
  </w:num>
  <w:num w:numId="3">
    <w:abstractNumId w:val="6"/>
  </w:num>
  <w:num w:numId="4">
    <w:abstractNumId w:val="1"/>
  </w:num>
  <w:num w:numId="5">
    <w:abstractNumId w:val="0"/>
  </w:num>
  <w:num w:numId="6">
    <w:abstractNumId w:val="7"/>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autoHyphenation/>
  <w:footnotePr>
    <w:footnote w:id="0"/>
    <w:footnote w:id="1"/>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CB43AB"/>
    <w:rsid w:val="2E8312EC"/>
    <w:rsid w:val="40C8139B"/>
    <w:rsid w:val="75B3064C"/>
    <w:rsid w:val="7FAF2D1E"/>
  </w:rsids>
  <m:mathPr>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qFormat="1" w:unhideWhenUsed="0" w:uiPriority="0" w:semiHidden="0" w:name="List Paragraph"/>
  </w:latentStyles>
  <w:style w:type="paragraph" w:default="1" w:styleId="1">
    <w:name w:val="Normal"/>
    <w:qFormat/>
    <w:uiPriority w:val="0"/>
    <w:pPr>
      <w:widowControl/>
      <w:suppressAutoHyphens/>
      <w:overflowPunct/>
      <w:bidi w:val="0"/>
      <w:spacing w:before="0" w:after="0"/>
      <w:jc w:val="left"/>
      <w:textAlignment w:val="baseline"/>
    </w:pPr>
    <w:rPr>
      <w:rFonts w:ascii="Times New Roman" w:hAnsi="Times New Roman" w:eastAsia="Times New Roman" w:cs="Times New Roman"/>
      <w:color w:val="auto"/>
      <w:kern w:val="0"/>
      <w:sz w:val="20"/>
      <w:szCs w:val="20"/>
      <w:lang w:val="pt-BR" w:eastAsia="zh-CN" w:bidi="ar-SA"/>
    </w:rPr>
  </w:style>
  <w:style w:type="paragraph" w:styleId="2">
    <w:name w:val="heading 1"/>
    <w:basedOn w:val="1"/>
    <w:next w:val="1"/>
    <w:qFormat/>
    <w:uiPriority w:val="0"/>
    <w:pPr>
      <w:keepNext/>
      <w:numPr>
        <w:ilvl w:val="0"/>
        <w:numId w:val="1"/>
      </w:numPr>
      <w:overflowPunct w:val="0"/>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val="0"/>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val="0"/>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val="0"/>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overflowPunct w:val="0"/>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val="0"/>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val="0"/>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val="0"/>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List"/>
    <w:basedOn w:val="14"/>
    <w:uiPriority w:val="0"/>
    <w:rPr>
      <w:rFonts w:cs="Mangal"/>
    </w:rPr>
  </w:style>
  <w:style w:type="paragraph" w:styleId="14">
    <w:name w:val="Body Text"/>
    <w:basedOn w:val="1"/>
    <w:qFormat/>
    <w:uiPriority w:val="0"/>
    <w:pPr>
      <w:overflowPunct w:val="0"/>
      <w:jc w:val="both"/>
      <w:textAlignment w:val="auto"/>
    </w:pPr>
    <w:rPr>
      <w:sz w:val="24"/>
      <w:szCs w:val="24"/>
      <w:lang w:val="pt-BR"/>
    </w:rPr>
  </w:style>
  <w:style w:type="paragraph" w:styleId="15">
    <w:name w:val="Block Text"/>
    <w:basedOn w:val="1"/>
    <w:qFormat/>
    <w:uiPriority w:val="0"/>
    <w:pPr>
      <w:overflowPunct w:val="0"/>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lang w:val="pt-BR"/>
    </w:rPr>
  </w:style>
  <w:style w:type="paragraph" w:styleId="17">
    <w:name w:val="Body Text 3"/>
    <w:basedOn w:val="1"/>
    <w:qFormat/>
    <w:uiPriority w:val="0"/>
    <w:pPr>
      <w:overflowPunct w:val="0"/>
      <w:ind w:left="0" w:right="-142" w:firstLine="0"/>
      <w:jc w:val="both"/>
      <w:textAlignment w:val="auto"/>
    </w:pPr>
    <w:rPr>
      <w:rFonts w:ascii="Arial" w:hAnsi="Arial" w:cs="Arial"/>
      <w:sz w:val="24"/>
      <w:szCs w:val="24"/>
      <w:lang w:val="pt-BR"/>
    </w:rPr>
  </w:style>
  <w:style w:type="paragraph" w:styleId="18">
    <w:name w:val="Body Text 2"/>
    <w:basedOn w:val="1"/>
    <w:qFormat/>
    <w:uiPriority w:val="0"/>
    <w:pPr>
      <w:overflowPunct w:val="0"/>
      <w:jc w:val="both"/>
      <w:textAlignment w:val="auto"/>
    </w:pPr>
    <w:rPr>
      <w:rFonts w:ascii="Arial" w:hAnsi="Arial" w:cs="Arial"/>
      <w:i/>
      <w:lang w:val="pt-BR"/>
    </w:rPr>
  </w:style>
  <w:style w:type="paragraph" w:styleId="19">
    <w:name w:val="header"/>
    <w:basedOn w:val="1"/>
    <w:qFormat/>
    <w:uiPriority w:val="0"/>
    <w:pPr>
      <w:tabs>
        <w:tab w:val="center" w:pos="4419"/>
        <w:tab w:val="right" w:pos="8838"/>
      </w:tabs>
      <w:overflowPunct w:val="0"/>
      <w:textAlignment w:val="auto"/>
    </w:pPr>
    <w:rPr>
      <w:sz w:val="24"/>
      <w:szCs w:val="24"/>
      <w:lang w:val="pt-BR"/>
    </w:rPr>
  </w:style>
  <w:style w:type="paragraph" w:styleId="20">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val="0"/>
      <w:ind w:left="400" w:right="0" w:firstLine="0"/>
      <w:jc w:val="both"/>
      <w:textAlignment w:val="auto"/>
    </w:pPr>
    <w:rPr>
      <w:rFonts w:ascii="Arial" w:hAnsi="Arial" w:cs="Arial"/>
      <w:bCs/>
      <w:sz w:val="21"/>
      <w:lang w:val="pt-BR"/>
    </w:rPr>
  </w:style>
  <w:style w:type="paragraph" w:styleId="23">
    <w:name w:val="Body Text Indent"/>
    <w:basedOn w:val="1"/>
    <w:uiPriority w:val="0"/>
    <w:pPr>
      <w:overflowPunct w:val="0"/>
      <w:jc w:val="both"/>
      <w:textAlignment w:val="auto"/>
    </w:pPr>
    <w:rPr>
      <w:sz w:val="22"/>
      <w:lang w:val="pt-BR"/>
    </w:rPr>
  </w:style>
  <w:style w:type="character" w:customStyle="1" w:styleId="24">
    <w:name w:val="WW8Num1z0"/>
    <w:qFormat/>
    <w:uiPriority w:val="0"/>
  </w:style>
  <w:style w:type="character" w:customStyle="1" w:styleId="25">
    <w:name w:val="WW8Num2z0"/>
    <w:qFormat/>
    <w:uiPriority w:val="0"/>
    <w:rPr>
      <w:rFonts w:ascii="Times New Roman" w:hAnsi="Times New Roman" w:eastAsia="Times New Roman" w:cs="Times New Roman"/>
      <w:spacing w:val="0"/>
      <w:w w:val="100"/>
      <w:sz w:val="22"/>
      <w:szCs w:val="22"/>
    </w:rPr>
  </w:style>
  <w:style w:type="character" w:customStyle="1" w:styleId="26">
    <w:name w:val="WW8Num2z1"/>
    <w:qFormat/>
    <w:uiPriority w:val="0"/>
  </w:style>
  <w:style w:type="character" w:customStyle="1" w:styleId="27">
    <w:name w:val="WW8Num2z2"/>
    <w:qFormat/>
    <w:uiPriority w:val="0"/>
  </w:style>
  <w:style w:type="character" w:customStyle="1" w:styleId="28">
    <w:name w:val="WW8Num2z3"/>
    <w:qFormat/>
    <w:uiPriority w:val="0"/>
  </w:style>
  <w:style w:type="character" w:customStyle="1" w:styleId="29">
    <w:name w:val="WW8Num2z4"/>
    <w:qFormat/>
    <w:uiPriority w:val="0"/>
  </w:style>
  <w:style w:type="character" w:customStyle="1" w:styleId="30">
    <w:name w:val="WW8Num2z5"/>
    <w:qFormat/>
    <w:uiPriority w:val="0"/>
  </w:style>
  <w:style w:type="character" w:customStyle="1" w:styleId="31">
    <w:name w:val="WW8Num2z6"/>
    <w:qFormat/>
    <w:uiPriority w:val="0"/>
  </w:style>
  <w:style w:type="character" w:customStyle="1" w:styleId="32">
    <w:name w:val="WW8Num2z7"/>
    <w:qFormat/>
    <w:uiPriority w:val="0"/>
  </w:style>
  <w:style w:type="character" w:customStyle="1" w:styleId="33">
    <w:name w:val="WW8Num2z8"/>
    <w:qFormat/>
    <w:uiPriority w:val="0"/>
  </w:style>
  <w:style w:type="character" w:customStyle="1" w:styleId="34">
    <w:name w:val="WW8Num3z0"/>
    <w:qFormat/>
    <w:uiPriority w:val="0"/>
  </w:style>
  <w:style w:type="character" w:customStyle="1" w:styleId="35">
    <w:name w:val="WW8Num4z0"/>
    <w:qFormat/>
    <w:uiPriority w:val="0"/>
    <w:rPr>
      <w:b/>
      <w:iCs/>
      <w:sz w:val="22"/>
      <w:szCs w:val="22"/>
    </w:rPr>
  </w:style>
  <w:style w:type="character" w:customStyle="1" w:styleId="36">
    <w:name w:val="WW8Num5z0"/>
    <w:qFormat/>
    <w:uiPriority w:val="0"/>
    <w:rPr>
      <w:b/>
    </w:rPr>
  </w:style>
  <w:style w:type="character" w:customStyle="1" w:styleId="37">
    <w:name w:val="WW8Num6z0"/>
    <w:qFormat/>
    <w:uiPriority w:val="0"/>
    <w:rPr>
      <w:lang w:val="pt-BR"/>
    </w:rPr>
  </w:style>
  <w:style w:type="character" w:customStyle="1" w:styleId="38">
    <w:name w:val="WW8Num6z1"/>
    <w:qFormat/>
    <w:uiPriority w:val="0"/>
  </w:style>
  <w:style w:type="character" w:customStyle="1" w:styleId="39">
    <w:name w:val="WW8Num6z2"/>
    <w:qFormat/>
    <w:uiPriority w:val="0"/>
  </w:style>
  <w:style w:type="character" w:customStyle="1" w:styleId="40">
    <w:name w:val="WW8Num6z3"/>
    <w:qFormat/>
    <w:uiPriority w:val="0"/>
  </w:style>
  <w:style w:type="character" w:customStyle="1" w:styleId="41">
    <w:name w:val="WW8Num6z4"/>
    <w:qFormat/>
    <w:uiPriority w:val="0"/>
  </w:style>
  <w:style w:type="character" w:customStyle="1" w:styleId="42">
    <w:name w:val="WW8Num6z5"/>
    <w:qFormat/>
    <w:uiPriority w:val="0"/>
  </w:style>
  <w:style w:type="character" w:customStyle="1" w:styleId="43">
    <w:name w:val="WW8Num6z6"/>
    <w:qFormat/>
    <w:uiPriority w:val="0"/>
  </w:style>
  <w:style w:type="character" w:customStyle="1" w:styleId="44">
    <w:name w:val="WW8Num6z7"/>
    <w:qFormat/>
    <w:uiPriority w:val="0"/>
  </w:style>
  <w:style w:type="character" w:customStyle="1" w:styleId="45">
    <w:name w:val="WW8Num6z8"/>
    <w:qFormat/>
    <w:uiPriority w:val="0"/>
  </w:style>
  <w:style w:type="character" w:customStyle="1" w:styleId="46">
    <w:name w:val="WW8Num7z0"/>
    <w:qFormat/>
    <w:uiPriority w:val="0"/>
    <w:rPr>
      <w:b/>
      <w:i/>
    </w:rPr>
  </w:style>
  <w:style w:type="character" w:customStyle="1" w:styleId="47">
    <w:name w:val="WW8Num8z0"/>
    <w:qFormat/>
    <w:uiPriority w:val="0"/>
  </w:style>
  <w:style w:type="character" w:customStyle="1" w:styleId="48">
    <w:name w:val="WW8Num8z1"/>
    <w:qFormat/>
    <w:uiPriority w:val="0"/>
  </w:style>
  <w:style w:type="character" w:customStyle="1" w:styleId="49">
    <w:name w:val="WW8Num8z2"/>
    <w:qFormat/>
    <w:uiPriority w:val="0"/>
  </w:style>
  <w:style w:type="character" w:customStyle="1" w:styleId="50">
    <w:name w:val="WW8Num8z3"/>
    <w:qFormat/>
    <w:uiPriority w:val="0"/>
  </w:style>
  <w:style w:type="character" w:customStyle="1" w:styleId="51">
    <w:name w:val="WW8Num8z4"/>
    <w:qFormat/>
    <w:uiPriority w:val="0"/>
  </w:style>
  <w:style w:type="character" w:customStyle="1" w:styleId="52">
    <w:name w:val="WW8Num8z5"/>
    <w:qFormat/>
    <w:uiPriority w:val="0"/>
  </w:style>
  <w:style w:type="character" w:customStyle="1" w:styleId="53">
    <w:name w:val="WW8Num8z6"/>
    <w:qFormat/>
    <w:uiPriority w:val="0"/>
  </w:style>
  <w:style w:type="character" w:customStyle="1" w:styleId="54">
    <w:name w:val="WW8Num8z7"/>
    <w:qFormat/>
    <w:uiPriority w:val="0"/>
  </w:style>
  <w:style w:type="character" w:customStyle="1" w:styleId="55">
    <w:name w:val="WW8Num8z8"/>
    <w:qFormat/>
    <w:uiPriority w:val="0"/>
  </w:style>
  <w:style w:type="character" w:customStyle="1" w:styleId="56">
    <w:name w:val="WW8Num9z0"/>
    <w:qFormat/>
    <w:uiPriority w:val="0"/>
  </w:style>
  <w:style w:type="character" w:customStyle="1" w:styleId="57">
    <w:name w:val="WW8Num9z1"/>
    <w:qFormat/>
    <w:uiPriority w:val="0"/>
  </w:style>
  <w:style w:type="character" w:customStyle="1" w:styleId="58">
    <w:name w:val="WW8Num9z2"/>
    <w:qFormat/>
    <w:uiPriority w:val="0"/>
  </w:style>
  <w:style w:type="character" w:customStyle="1" w:styleId="59">
    <w:name w:val="WW8Num9z3"/>
    <w:qFormat/>
    <w:uiPriority w:val="0"/>
  </w:style>
  <w:style w:type="character" w:customStyle="1" w:styleId="60">
    <w:name w:val="WW8Num9z4"/>
    <w:qFormat/>
    <w:uiPriority w:val="0"/>
  </w:style>
  <w:style w:type="character" w:customStyle="1" w:styleId="61">
    <w:name w:val="WW8Num9z5"/>
    <w:qFormat/>
    <w:uiPriority w:val="0"/>
  </w:style>
  <w:style w:type="character" w:customStyle="1" w:styleId="62">
    <w:name w:val="WW8Num9z6"/>
    <w:qFormat/>
    <w:uiPriority w:val="0"/>
  </w:style>
  <w:style w:type="character" w:customStyle="1" w:styleId="63">
    <w:name w:val="WW8Num9z7"/>
    <w:qFormat/>
    <w:uiPriority w:val="0"/>
  </w:style>
  <w:style w:type="character" w:customStyle="1" w:styleId="64">
    <w:name w:val="WW8Num9z8"/>
    <w:qFormat/>
    <w:uiPriority w:val="0"/>
  </w:style>
  <w:style w:type="character" w:customStyle="1" w:styleId="65">
    <w:name w:val="WW8Num10z0"/>
    <w:qFormat/>
    <w:uiPriority w:val="0"/>
  </w:style>
  <w:style w:type="character" w:customStyle="1" w:styleId="66">
    <w:name w:val="WW8Num10z1"/>
    <w:qFormat/>
    <w:uiPriority w:val="0"/>
  </w:style>
  <w:style w:type="character" w:customStyle="1" w:styleId="67">
    <w:name w:val="WW8Num10z2"/>
    <w:qFormat/>
    <w:uiPriority w:val="0"/>
  </w:style>
  <w:style w:type="character" w:customStyle="1" w:styleId="68">
    <w:name w:val="WW8Num10z3"/>
    <w:qFormat/>
    <w:uiPriority w:val="0"/>
  </w:style>
  <w:style w:type="character" w:customStyle="1" w:styleId="69">
    <w:name w:val="WW8Num10z4"/>
    <w:qFormat/>
    <w:uiPriority w:val="0"/>
  </w:style>
  <w:style w:type="character" w:customStyle="1" w:styleId="70">
    <w:name w:val="WW8Num10z5"/>
    <w:qFormat/>
    <w:uiPriority w:val="0"/>
  </w:style>
  <w:style w:type="character" w:customStyle="1" w:styleId="71">
    <w:name w:val="WW8Num10z6"/>
    <w:qFormat/>
    <w:uiPriority w:val="0"/>
  </w:style>
  <w:style w:type="character" w:customStyle="1" w:styleId="72">
    <w:name w:val="WW8Num10z7"/>
    <w:qFormat/>
    <w:uiPriority w:val="0"/>
  </w:style>
  <w:style w:type="character" w:customStyle="1" w:styleId="73">
    <w:name w:val="WW8Num10z8"/>
    <w:qFormat/>
    <w:uiPriority w:val="0"/>
  </w:style>
  <w:style w:type="character" w:customStyle="1" w:styleId="74">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5">
    <w:name w:val="WW8Num11z1"/>
    <w:qFormat/>
    <w:uiPriority w:val="0"/>
    <w:rPr>
      <w:lang w:val="pt-BR" w:bidi="pt-BR"/>
    </w:rPr>
  </w:style>
  <w:style w:type="character" w:customStyle="1" w:styleId="76">
    <w:name w:val="WW8Num12z0"/>
    <w:qFormat/>
    <w:uiPriority w:val="0"/>
    <w:rPr>
      <w:b/>
      <w:sz w:val="22"/>
      <w:szCs w:val="22"/>
    </w:rPr>
  </w:style>
  <w:style w:type="character" w:customStyle="1" w:styleId="77">
    <w:name w:val="WW8Num13z0"/>
    <w:qFormat/>
    <w:uiPriority w:val="0"/>
  </w:style>
  <w:style w:type="character" w:customStyle="1" w:styleId="78">
    <w:name w:val="WW8Num13z1"/>
    <w:qFormat/>
    <w:uiPriority w:val="0"/>
  </w:style>
  <w:style w:type="character" w:customStyle="1" w:styleId="79">
    <w:name w:val="WW8Num13z2"/>
    <w:qFormat/>
    <w:uiPriority w:val="0"/>
  </w:style>
  <w:style w:type="character" w:customStyle="1" w:styleId="80">
    <w:name w:val="WW8Num13z3"/>
    <w:qFormat/>
    <w:uiPriority w:val="0"/>
  </w:style>
  <w:style w:type="character" w:customStyle="1" w:styleId="81">
    <w:name w:val="WW8Num13z4"/>
    <w:qFormat/>
    <w:uiPriority w:val="0"/>
  </w:style>
  <w:style w:type="character" w:customStyle="1" w:styleId="82">
    <w:name w:val="WW8Num13z5"/>
    <w:qFormat/>
    <w:uiPriority w:val="0"/>
  </w:style>
  <w:style w:type="character" w:customStyle="1" w:styleId="83">
    <w:name w:val="WW8Num13z6"/>
    <w:qFormat/>
    <w:uiPriority w:val="0"/>
  </w:style>
  <w:style w:type="character" w:customStyle="1" w:styleId="84">
    <w:name w:val="WW8Num13z7"/>
    <w:qFormat/>
    <w:uiPriority w:val="0"/>
  </w:style>
  <w:style w:type="character" w:customStyle="1" w:styleId="85">
    <w:name w:val="WW8Num13z8"/>
    <w:qFormat/>
    <w:uiPriority w:val="0"/>
  </w:style>
  <w:style w:type="character" w:customStyle="1" w:styleId="86">
    <w:name w:val="WW8Num14z0"/>
    <w:qFormat/>
    <w:uiPriority w:val="0"/>
  </w:style>
  <w:style w:type="character" w:customStyle="1" w:styleId="87">
    <w:name w:val="WW8Num15z0"/>
    <w:qFormat/>
    <w:uiPriority w:val="0"/>
    <w:rPr>
      <w:rFonts w:ascii="Symbol" w:hAnsi="Symbol" w:cs="Symbol"/>
      <w:color w:val="008000"/>
    </w:rPr>
  </w:style>
  <w:style w:type="character" w:customStyle="1" w:styleId="88">
    <w:name w:val="WW8Num15z1"/>
    <w:qFormat/>
    <w:uiPriority w:val="0"/>
    <w:rPr>
      <w:rFonts w:ascii="Courier New" w:hAnsi="Courier New" w:cs="Courier New"/>
    </w:rPr>
  </w:style>
  <w:style w:type="character" w:customStyle="1" w:styleId="89">
    <w:name w:val="WW8Num15z2"/>
    <w:qFormat/>
    <w:uiPriority w:val="0"/>
    <w:rPr>
      <w:rFonts w:ascii="Wingdings" w:hAnsi="Wingdings" w:cs="Wingdings"/>
    </w:rPr>
  </w:style>
  <w:style w:type="character" w:customStyle="1" w:styleId="90">
    <w:name w:val="WW8Num15z3"/>
    <w:qFormat/>
    <w:uiPriority w:val="0"/>
    <w:rPr>
      <w:rFonts w:ascii="Symbol" w:hAnsi="Symbol" w:cs="Symbol"/>
    </w:rPr>
  </w:style>
  <w:style w:type="character" w:customStyle="1" w:styleId="91">
    <w:name w:val="WW8Num16z0"/>
    <w:qFormat/>
    <w:uiPriority w:val="0"/>
    <w:rPr>
      <w:rFonts w:ascii="Symbol" w:hAnsi="Symbol" w:cs="Symbol"/>
    </w:rPr>
  </w:style>
  <w:style w:type="character" w:customStyle="1" w:styleId="92">
    <w:name w:val="WW8Num16z1"/>
    <w:qFormat/>
    <w:uiPriority w:val="0"/>
    <w:rPr>
      <w:rFonts w:ascii="Courier New" w:hAnsi="Courier New" w:cs="Courier New"/>
    </w:rPr>
  </w:style>
  <w:style w:type="character" w:customStyle="1" w:styleId="93">
    <w:name w:val="WW8Num16z2"/>
    <w:qFormat/>
    <w:uiPriority w:val="0"/>
    <w:rPr>
      <w:rFonts w:ascii="Wingdings" w:hAnsi="Wingdings" w:cs="Wingdings"/>
    </w:rPr>
  </w:style>
  <w:style w:type="character" w:customStyle="1" w:styleId="94">
    <w:name w:val="WW8Num17z0"/>
    <w:qFormat/>
    <w:uiPriority w:val="0"/>
  </w:style>
  <w:style w:type="character" w:customStyle="1" w:styleId="95">
    <w:name w:val="WW8Num17z1"/>
    <w:qFormat/>
    <w:uiPriority w:val="0"/>
  </w:style>
  <w:style w:type="character" w:customStyle="1" w:styleId="96">
    <w:name w:val="WW8Num17z2"/>
    <w:qFormat/>
    <w:uiPriority w:val="0"/>
  </w:style>
  <w:style w:type="character" w:customStyle="1" w:styleId="97">
    <w:name w:val="WW8Num17z3"/>
    <w:qFormat/>
    <w:uiPriority w:val="0"/>
  </w:style>
  <w:style w:type="character" w:customStyle="1" w:styleId="98">
    <w:name w:val="WW8Num17z4"/>
    <w:qFormat/>
    <w:uiPriority w:val="0"/>
  </w:style>
  <w:style w:type="character" w:customStyle="1" w:styleId="99">
    <w:name w:val="WW8Num17z5"/>
    <w:qFormat/>
    <w:uiPriority w:val="0"/>
  </w:style>
  <w:style w:type="character" w:customStyle="1" w:styleId="100">
    <w:name w:val="WW8Num17z6"/>
    <w:qFormat/>
    <w:uiPriority w:val="0"/>
  </w:style>
  <w:style w:type="character" w:customStyle="1" w:styleId="101">
    <w:name w:val="WW8Num17z7"/>
    <w:qFormat/>
    <w:uiPriority w:val="0"/>
  </w:style>
  <w:style w:type="character" w:customStyle="1" w:styleId="102">
    <w:name w:val="WW8Num17z8"/>
    <w:qFormat/>
    <w:uiPriority w:val="0"/>
  </w:style>
  <w:style w:type="character" w:customStyle="1" w:styleId="103">
    <w:name w:val="WW8Num18z0"/>
    <w:qFormat/>
    <w:uiPriority w:val="0"/>
    <w:rPr>
      <w:b/>
    </w:rPr>
  </w:style>
  <w:style w:type="character" w:customStyle="1" w:styleId="104">
    <w:name w:val="WW8Num19z0"/>
    <w:qFormat/>
    <w:uiPriority w:val="0"/>
    <w:rPr>
      <w:b/>
    </w:rPr>
  </w:style>
  <w:style w:type="character" w:customStyle="1" w:styleId="105">
    <w:name w:val="WW8Num20z0"/>
    <w:qFormat/>
    <w:uiPriority w:val="0"/>
    <w:rPr>
      <w:b/>
    </w:rPr>
  </w:style>
  <w:style w:type="character" w:customStyle="1" w:styleId="106">
    <w:name w:val="WW8Num20z1"/>
    <w:qFormat/>
    <w:uiPriority w:val="0"/>
  </w:style>
  <w:style w:type="character" w:customStyle="1" w:styleId="107">
    <w:name w:val="WW8Num20z2"/>
    <w:qFormat/>
    <w:uiPriority w:val="0"/>
  </w:style>
  <w:style w:type="character" w:customStyle="1" w:styleId="108">
    <w:name w:val="WW8Num20z3"/>
    <w:qFormat/>
    <w:uiPriority w:val="0"/>
  </w:style>
  <w:style w:type="character" w:customStyle="1" w:styleId="109">
    <w:name w:val="WW8Num20z4"/>
    <w:qFormat/>
    <w:uiPriority w:val="0"/>
  </w:style>
  <w:style w:type="character" w:customStyle="1" w:styleId="110">
    <w:name w:val="WW8Num20z5"/>
    <w:qFormat/>
    <w:uiPriority w:val="0"/>
  </w:style>
  <w:style w:type="character" w:customStyle="1" w:styleId="111">
    <w:name w:val="WW8Num20z6"/>
    <w:qFormat/>
    <w:uiPriority w:val="0"/>
  </w:style>
  <w:style w:type="character" w:customStyle="1" w:styleId="112">
    <w:name w:val="WW8Num20z7"/>
    <w:qFormat/>
    <w:uiPriority w:val="0"/>
  </w:style>
  <w:style w:type="character" w:customStyle="1" w:styleId="113">
    <w:name w:val="WW8Num20z8"/>
    <w:qFormat/>
    <w:uiPriority w:val="0"/>
  </w:style>
  <w:style w:type="character" w:customStyle="1" w:styleId="114">
    <w:name w:val="Número de página1"/>
    <w:basedOn w:val="11"/>
    <w:uiPriority w:val="0"/>
  </w:style>
  <w:style w:type="character" w:customStyle="1" w:styleId="115">
    <w:name w:val="Link da Internet"/>
    <w:uiPriority w:val="0"/>
    <w:rPr>
      <w:color w:val="0000FF"/>
      <w:u w:val="single"/>
    </w:rPr>
  </w:style>
  <w:style w:type="character" w:customStyle="1" w:styleId="116">
    <w:name w:val="Heading 1 Char"/>
    <w:qFormat/>
    <w:uiPriority w:val="0"/>
    <w:rPr>
      <w:rFonts w:ascii="Arial" w:hAnsi="Arial" w:cs="Arial"/>
      <w:i/>
    </w:rPr>
  </w:style>
  <w:style w:type="character" w:customStyle="1" w:styleId="117">
    <w:name w:val="Heading 5 Char"/>
    <w:qFormat/>
    <w:uiPriority w:val="0"/>
    <w:rPr>
      <w:rFonts w:ascii="Arial" w:hAnsi="Arial" w:cs="Arial"/>
      <w:b/>
      <w:sz w:val="22"/>
    </w:rPr>
  </w:style>
  <w:style w:type="character" w:customStyle="1" w:styleId="118">
    <w:name w:val="Heading 2 Char"/>
    <w:qFormat/>
    <w:uiPriority w:val="0"/>
    <w:rPr>
      <w:rFonts w:ascii="Arial" w:hAnsi="Arial" w:cs="Arial"/>
      <w:i/>
      <w:color w:val="FF0000"/>
      <w:sz w:val="24"/>
    </w:rPr>
  </w:style>
  <w:style w:type="character" w:customStyle="1" w:styleId="119">
    <w:name w:val="Heading 3 Char"/>
    <w:qFormat/>
    <w:uiPriority w:val="0"/>
    <w:rPr>
      <w:rFonts w:ascii="Arial" w:hAnsi="Arial" w:cs="Arial"/>
      <w:b/>
      <w:color w:val="FF0000"/>
      <w:sz w:val="22"/>
    </w:rPr>
  </w:style>
  <w:style w:type="character" w:customStyle="1" w:styleId="120">
    <w:name w:val="Heading 4 Char"/>
    <w:qFormat/>
    <w:uiPriority w:val="0"/>
    <w:rPr>
      <w:rFonts w:ascii="Arial" w:hAnsi="Arial" w:cs="Arial"/>
      <w:b/>
      <w:sz w:val="22"/>
    </w:rPr>
  </w:style>
  <w:style w:type="character" w:customStyle="1" w:styleId="121">
    <w:name w:val="Heading 6 Char"/>
    <w:qFormat/>
    <w:uiPriority w:val="0"/>
    <w:rPr>
      <w:rFonts w:ascii="Arial" w:hAnsi="Arial" w:cs="Arial"/>
      <w:i/>
      <w:sz w:val="24"/>
    </w:rPr>
  </w:style>
  <w:style w:type="character" w:customStyle="1" w:styleId="122">
    <w:name w:val="Heading 7 Char"/>
    <w:qFormat/>
    <w:uiPriority w:val="0"/>
    <w:rPr>
      <w:rFonts w:ascii="Arial" w:hAnsi="Arial" w:cs="Arial"/>
      <w:b/>
      <w:bCs/>
      <w:sz w:val="21"/>
    </w:rPr>
  </w:style>
  <w:style w:type="character" w:customStyle="1" w:styleId="123">
    <w:name w:val="Heading 8 Char"/>
    <w:qFormat/>
    <w:uiPriority w:val="0"/>
    <w:rPr>
      <w:rFonts w:ascii="Arial" w:hAnsi="Arial" w:cs="Arial"/>
      <w:i/>
      <w:sz w:val="24"/>
    </w:rPr>
  </w:style>
  <w:style w:type="character" w:customStyle="1" w:styleId="124">
    <w:name w:val="Heading 9 Char"/>
    <w:qFormat/>
    <w:uiPriority w:val="0"/>
    <w:rPr>
      <w:rFonts w:ascii="Arial" w:hAnsi="Arial" w:cs="Arial"/>
      <w:i/>
      <w:sz w:val="28"/>
    </w:rPr>
  </w:style>
  <w:style w:type="character" w:customStyle="1" w:styleId="125">
    <w:name w:val="Footer Char"/>
    <w:qFormat/>
    <w:uiPriority w:val="0"/>
    <w:rPr>
      <w:rFonts w:ascii="Courier (W1);Segoe Print" w:hAnsi="Courier (W1);Segoe Print" w:cs="Courier (W1);Segoe Print"/>
      <w:color w:val="000000"/>
      <w:sz w:val="24"/>
    </w:rPr>
  </w:style>
  <w:style w:type="character" w:customStyle="1" w:styleId="126">
    <w:name w:val="Title Char"/>
    <w:qFormat/>
    <w:uiPriority w:val="0"/>
    <w:rPr>
      <w:rFonts w:ascii="Arial" w:hAnsi="Arial" w:cs="Arial"/>
      <w:b/>
      <w:bCs/>
      <w:sz w:val="21"/>
      <w:szCs w:val="24"/>
    </w:rPr>
  </w:style>
  <w:style w:type="character" w:customStyle="1" w:styleId="127">
    <w:name w:val="Body Text Indent Char"/>
    <w:qFormat/>
    <w:uiPriority w:val="0"/>
    <w:rPr>
      <w:sz w:val="22"/>
    </w:rPr>
  </w:style>
  <w:style w:type="character" w:customStyle="1" w:styleId="128">
    <w:name w:val="Body Text Char"/>
    <w:qFormat/>
    <w:uiPriority w:val="0"/>
    <w:rPr>
      <w:sz w:val="24"/>
      <w:szCs w:val="24"/>
    </w:rPr>
  </w:style>
  <w:style w:type="character" w:customStyle="1" w:styleId="129">
    <w:name w:val="Body Text 3 Char"/>
    <w:qFormat/>
    <w:uiPriority w:val="0"/>
    <w:rPr>
      <w:rFonts w:ascii="Arial" w:hAnsi="Arial" w:cs="Arial"/>
      <w:sz w:val="24"/>
      <w:szCs w:val="24"/>
    </w:rPr>
  </w:style>
  <w:style w:type="character" w:customStyle="1" w:styleId="130">
    <w:name w:val="Body Text Indent 2 Char"/>
    <w:qFormat/>
    <w:uiPriority w:val="0"/>
    <w:rPr>
      <w:rFonts w:ascii="Arial" w:hAnsi="Arial" w:cs="Arial"/>
      <w:sz w:val="23"/>
    </w:rPr>
  </w:style>
  <w:style w:type="character" w:customStyle="1" w:styleId="131">
    <w:name w:val="Header Char"/>
    <w:qFormat/>
    <w:uiPriority w:val="0"/>
    <w:rPr>
      <w:sz w:val="24"/>
      <w:szCs w:val="24"/>
    </w:rPr>
  </w:style>
  <w:style w:type="character" w:customStyle="1" w:styleId="132">
    <w:name w:val="Body Text 2 Char"/>
    <w:qFormat/>
    <w:uiPriority w:val="0"/>
    <w:rPr>
      <w:rFonts w:ascii="Arial" w:hAnsi="Arial" w:cs="Arial"/>
      <w:i/>
    </w:rPr>
  </w:style>
  <w:style w:type="character" w:customStyle="1" w:styleId="133">
    <w:name w:val="Body Text Indent 3 Char"/>
    <w:qFormat/>
    <w:uiPriority w:val="0"/>
    <w:rPr>
      <w:rFonts w:ascii="Arial" w:hAnsi="Arial" w:cs="Arial"/>
      <w:bCs/>
      <w:sz w:val="21"/>
    </w:rPr>
  </w:style>
  <w:style w:type="character" w:customStyle="1" w:styleId="134">
    <w:name w:val="Link da internet visitado"/>
    <w:uiPriority w:val="0"/>
    <w:rPr>
      <w:color w:val="800080"/>
      <w:u w:val="single"/>
    </w:rPr>
  </w:style>
  <w:style w:type="character" w:customStyle="1" w:styleId="135">
    <w:name w:val="Título 1 Char"/>
    <w:qFormat/>
    <w:uiPriority w:val="0"/>
    <w:rPr>
      <w:rFonts w:ascii="Arial" w:hAnsi="Arial" w:cs="Arial"/>
      <w:i/>
      <w:lang w:val="pt-BR" w:bidi="ar-SA"/>
    </w:rPr>
  </w:style>
  <w:style w:type="character" w:customStyle="1" w:styleId="136">
    <w:name w:val="Título 2 Char"/>
    <w:qFormat/>
    <w:uiPriority w:val="0"/>
    <w:rPr>
      <w:rFonts w:ascii="Arial" w:hAnsi="Arial" w:cs="Arial"/>
      <w:i/>
      <w:color w:val="FF0000"/>
      <w:sz w:val="24"/>
      <w:lang w:val="pt-BR" w:bidi="ar-SA"/>
    </w:rPr>
  </w:style>
  <w:style w:type="character" w:customStyle="1" w:styleId="137">
    <w:name w:val="Título 3 Char"/>
    <w:qFormat/>
    <w:uiPriority w:val="0"/>
    <w:rPr>
      <w:rFonts w:ascii="Arial" w:hAnsi="Arial" w:cs="Arial"/>
      <w:b/>
      <w:color w:val="FF0000"/>
      <w:sz w:val="22"/>
      <w:lang w:val="pt-BR" w:bidi="ar-SA"/>
    </w:rPr>
  </w:style>
  <w:style w:type="character" w:customStyle="1" w:styleId="138">
    <w:name w:val="Título 4 Char"/>
    <w:qFormat/>
    <w:uiPriority w:val="0"/>
    <w:rPr>
      <w:rFonts w:ascii="Arial" w:hAnsi="Arial" w:cs="Arial"/>
      <w:b/>
      <w:sz w:val="22"/>
      <w:lang w:val="pt-BR" w:bidi="ar-SA"/>
    </w:rPr>
  </w:style>
  <w:style w:type="character" w:customStyle="1" w:styleId="139">
    <w:name w:val="Título 5 Char"/>
    <w:qFormat/>
    <w:uiPriority w:val="0"/>
    <w:rPr>
      <w:rFonts w:ascii="Arial" w:hAnsi="Arial" w:cs="Arial"/>
      <w:b/>
      <w:sz w:val="22"/>
      <w:lang w:val="pt-BR" w:bidi="ar-SA"/>
    </w:rPr>
  </w:style>
  <w:style w:type="character" w:customStyle="1" w:styleId="140">
    <w:name w:val="Título 6 Char"/>
    <w:qFormat/>
    <w:uiPriority w:val="0"/>
    <w:rPr>
      <w:rFonts w:ascii="Arial" w:hAnsi="Arial" w:cs="Arial"/>
      <w:i/>
      <w:sz w:val="24"/>
      <w:lang w:val="pt-BR" w:bidi="ar-SA"/>
    </w:rPr>
  </w:style>
  <w:style w:type="character" w:customStyle="1" w:styleId="141">
    <w:name w:val="Título 7 Char"/>
    <w:qFormat/>
    <w:uiPriority w:val="0"/>
    <w:rPr>
      <w:rFonts w:ascii="Arial" w:hAnsi="Arial" w:cs="Arial"/>
      <w:b/>
      <w:bCs/>
      <w:sz w:val="21"/>
      <w:lang w:val="pt-BR" w:bidi="ar-SA"/>
    </w:rPr>
  </w:style>
  <w:style w:type="character" w:customStyle="1" w:styleId="142">
    <w:name w:val="Título 8 Char"/>
    <w:qFormat/>
    <w:uiPriority w:val="0"/>
    <w:rPr>
      <w:rFonts w:ascii="Arial" w:hAnsi="Arial" w:cs="Arial"/>
      <w:i/>
      <w:sz w:val="24"/>
      <w:lang w:val="pt-BR" w:bidi="ar-SA"/>
    </w:rPr>
  </w:style>
  <w:style w:type="character" w:customStyle="1" w:styleId="143">
    <w:name w:val="Título 9 Char"/>
    <w:qFormat/>
    <w:uiPriority w:val="0"/>
    <w:rPr>
      <w:rFonts w:ascii="Arial" w:hAnsi="Arial" w:cs="Arial"/>
      <w:i/>
      <w:sz w:val="28"/>
      <w:lang w:val="pt-BR" w:bidi="ar-SA"/>
    </w:rPr>
  </w:style>
  <w:style w:type="character" w:customStyle="1" w:styleId="144">
    <w:name w:val="Cabeçalho Char"/>
    <w:qFormat/>
    <w:uiPriority w:val="0"/>
    <w:rPr>
      <w:sz w:val="24"/>
      <w:szCs w:val="24"/>
      <w:lang w:bidi="ar-SA"/>
    </w:rPr>
  </w:style>
  <w:style w:type="character" w:customStyle="1" w:styleId="145">
    <w:name w:val="Rodapé Char"/>
    <w:qFormat/>
    <w:uiPriority w:val="0"/>
    <w:rPr>
      <w:rFonts w:ascii="Courier (W1);Segoe Print" w:hAnsi="Courier (W1);Segoe Print" w:cs="Courier (W1);Segoe Print"/>
      <w:color w:val="000000"/>
      <w:sz w:val="24"/>
      <w:lang w:bidi="ar-SA"/>
    </w:rPr>
  </w:style>
  <w:style w:type="character" w:customStyle="1" w:styleId="146">
    <w:name w:val="Título Char"/>
    <w:qFormat/>
    <w:uiPriority w:val="0"/>
    <w:rPr>
      <w:rFonts w:ascii="Arial" w:hAnsi="Arial" w:cs="Arial"/>
      <w:b/>
      <w:bCs/>
      <w:sz w:val="21"/>
      <w:szCs w:val="24"/>
      <w:lang w:bidi="ar-SA"/>
    </w:rPr>
  </w:style>
  <w:style w:type="character" w:customStyle="1" w:styleId="147">
    <w:name w:val="Corpo de texto Char"/>
    <w:qFormat/>
    <w:uiPriority w:val="0"/>
    <w:rPr>
      <w:sz w:val="24"/>
      <w:szCs w:val="24"/>
      <w:lang w:bidi="ar-SA"/>
    </w:rPr>
  </w:style>
  <w:style w:type="character" w:customStyle="1" w:styleId="148">
    <w:name w:val="Recuo de corpo de texto Char"/>
    <w:qFormat/>
    <w:uiPriority w:val="0"/>
    <w:rPr>
      <w:lang w:bidi="ar-SA"/>
    </w:rPr>
  </w:style>
  <w:style w:type="character" w:customStyle="1" w:styleId="149">
    <w:name w:val="Corpo de texto 2 Char"/>
    <w:qFormat/>
    <w:uiPriority w:val="0"/>
    <w:rPr>
      <w:rFonts w:ascii="Arial" w:hAnsi="Arial" w:cs="Arial"/>
      <w:i/>
      <w:lang w:bidi="ar-SA"/>
    </w:rPr>
  </w:style>
  <w:style w:type="character" w:customStyle="1" w:styleId="150">
    <w:name w:val="Corpo de texto 3 Char"/>
    <w:qFormat/>
    <w:uiPriority w:val="0"/>
    <w:rPr>
      <w:rFonts w:ascii="Arial" w:hAnsi="Arial" w:cs="Arial"/>
      <w:sz w:val="24"/>
      <w:szCs w:val="24"/>
      <w:lang w:bidi="ar-SA"/>
    </w:rPr>
  </w:style>
  <w:style w:type="character" w:customStyle="1" w:styleId="151">
    <w:name w:val="Recuo de corpo de texto 2 Char"/>
    <w:qFormat/>
    <w:uiPriority w:val="0"/>
    <w:rPr>
      <w:rFonts w:ascii="Arial" w:hAnsi="Arial" w:cs="Arial"/>
      <w:sz w:val="23"/>
      <w:lang w:bidi="ar-SA"/>
    </w:rPr>
  </w:style>
  <w:style w:type="character" w:customStyle="1" w:styleId="152">
    <w:name w:val="Recuo de corpo de texto 3 Char"/>
    <w:qFormat/>
    <w:uiPriority w:val="0"/>
    <w:rPr>
      <w:rFonts w:ascii="Arial" w:hAnsi="Arial" w:cs="Arial"/>
      <w:bCs/>
      <w:sz w:val="21"/>
      <w:lang w:bidi="ar-SA"/>
    </w:rPr>
  </w:style>
  <w:style w:type="character" w:customStyle="1" w:styleId="153">
    <w:name w:val="Título 1 Char1"/>
    <w:qFormat/>
    <w:uiPriority w:val="0"/>
    <w:rPr>
      <w:rFonts w:ascii="Arial" w:hAnsi="Arial" w:eastAsia="Times New Roman" w:cs="Times New Roman"/>
      <w:i/>
      <w:sz w:val="20"/>
      <w:szCs w:val="20"/>
      <w:lang w:val="pt-BR"/>
    </w:rPr>
  </w:style>
  <w:style w:type="character" w:customStyle="1" w:styleId="154">
    <w:name w:val="Título 5 Char1"/>
    <w:qFormat/>
    <w:uiPriority w:val="0"/>
    <w:rPr>
      <w:rFonts w:ascii="Arial" w:hAnsi="Arial" w:eastAsia="Times New Roman" w:cs="Times New Roman"/>
      <w:b/>
      <w:szCs w:val="20"/>
      <w:lang w:val="pt-BR"/>
    </w:rPr>
  </w:style>
  <w:style w:type="character" w:customStyle="1" w:styleId="155">
    <w:name w:val="Título 2 Char1"/>
    <w:qFormat/>
    <w:uiPriority w:val="0"/>
    <w:rPr>
      <w:rFonts w:ascii="Arial" w:hAnsi="Arial" w:eastAsia="Times New Roman" w:cs="Times New Roman"/>
      <w:i/>
      <w:color w:val="FF0000"/>
      <w:sz w:val="24"/>
      <w:szCs w:val="20"/>
      <w:lang w:val="pt-BR"/>
    </w:rPr>
  </w:style>
  <w:style w:type="character" w:customStyle="1" w:styleId="156">
    <w:name w:val="Título 3 Char1"/>
    <w:qFormat/>
    <w:uiPriority w:val="0"/>
    <w:rPr>
      <w:rFonts w:ascii="Arial" w:hAnsi="Arial" w:eastAsia="Times New Roman" w:cs="Times New Roman"/>
      <w:b/>
      <w:color w:val="FF0000"/>
      <w:szCs w:val="20"/>
      <w:lang w:val="pt-BR"/>
    </w:rPr>
  </w:style>
  <w:style w:type="character" w:customStyle="1" w:styleId="157">
    <w:name w:val="Título 4 Char1"/>
    <w:qFormat/>
    <w:uiPriority w:val="0"/>
    <w:rPr>
      <w:rFonts w:ascii="Arial" w:hAnsi="Arial" w:eastAsia="Times New Roman" w:cs="Times New Roman"/>
      <w:b/>
      <w:szCs w:val="20"/>
      <w:lang w:val="pt-BR"/>
    </w:rPr>
  </w:style>
  <w:style w:type="character" w:customStyle="1" w:styleId="158">
    <w:name w:val="Título 6 Char1"/>
    <w:qFormat/>
    <w:uiPriority w:val="0"/>
    <w:rPr>
      <w:rFonts w:ascii="Arial" w:hAnsi="Arial" w:eastAsia="Times New Roman" w:cs="Times New Roman"/>
      <w:i/>
      <w:sz w:val="24"/>
      <w:szCs w:val="20"/>
      <w:lang w:val="pt-BR"/>
    </w:rPr>
  </w:style>
  <w:style w:type="character" w:customStyle="1" w:styleId="159">
    <w:name w:val="Título 7 Char1"/>
    <w:qFormat/>
    <w:uiPriority w:val="0"/>
    <w:rPr>
      <w:rFonts w:ascii="Arial" w:hAnsi="Arial" w:eastAsia="Times New Roman" w:cs="Times New Roman"/>
      <w:b/>
      <w:bCs/>
      <w:sz w:val="21"/>
      <w:szCs w:val="20"/>
      <w:lang w:val="pt-BR"/>
    </w:rPr>
  </w:style>
  <w:style w:type="character" w:customStyle="1" w:styleId="160">
    <w:name w:val="Título 8 Char1"/>
    <w:qFormat/>
    <w:uiPriority w:val="0"/>
    <w:rPr>
      <w:rFonts w:ascii="Arial" w:hAnsi="Arial" w:eastAsia="Times New Roman" w:cs="Times New Roman"/>
      <w:i/>
      <w:sz w:val="24"/>
      <w:szCs w:val="20"/>
      <w:lang w:val="pt-BR"/>
    </w:rPr>
  </w:style>
  <w:style w:type="character" w:customStyle="1" w:styleId="161">
    <w:name w:val="Título 9 Char1"/>
    <w:qFormat/>
    <w:uiPriority w:val="0"/>
    <w:rPr>
      <w:rFonts w:ascii="Arial" w:hAnsi="Arial" w:eastAsia="Times New Roman" w:cs="Times New Roman"/>
      <w:i/>
      <w:sz w:val="28"/>
      <w:szCs w:val="20"/>
      <w:lang w:val="pt-BR"/>
    </w:rPr>
  </w:style>
  <w:style w:type="character" w:customStyle="1" w:styleId="162">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3">
    <w:name w:val="Título Char1"/>
    <w:qFormat/>
    <w:uiPriority w:val="0"/>
    <w:rPr>
      <w:rFonts w:ascii="Arial" w:hAnsi="Arial" w:eastAsia="Times New Roman" w:cs="Times New Roman"/>
      <w:b/>
      <w:bCs/>
      <w:sz w:val="21"/>
      <w:szCs w:val="24"/>
      <w:lang w:val="pt-BR"/>
    </w:rPr>
  </w:style>
  <w:style w:type="character" w:customStyle="1" w:styleId="164">
    <w:name w:val="Recuo de corpo de texto Char1"/>
    <w:qFormat/>
    <w:uiPriority w:val="0"/>
    <w:rPr>
      <w:rFonts w:ascii="Times New Roman" w:hAnsi="Times New Roman" w:eastAsia="Times New Roman" w:cs="Times New Roman"/>
      <w:szCs w:val="20"/>
      <w:lang w:val="pt-BR"/>
    </w:rPr>
  </w:style>
  <w:style w:type="character" w:customStyle="1" w:styleId="165">
    <w:name w:val="Corpo de texto Char1"/>
    <w:qFormat/>
    <w:uiPriority w:val="0"/>
    <w:rPr>
      <w:rFonts w:ascii="Times New Roman" w:hAnsi="Times New Roman" w:eastAsia="Times New Roman" w:cs="Times New Roman"/>
      <w:sz w:val="24"/>
      <w:szCs w:val="24"/>
      <w:lang w:val="pt-BR"/>
    </w:rPr>
  </w:style>
  <w:style w:type="character" w:customStyle="1" w:styleId="166">
    <w:name w:val="Corpo de texto 3 Char1"/>
    <w:qFormat/>
    <w:uiPriority w:val="0"/>
    <w:rPr>
      <w:rFonts w:ascii="Arial" w:hAnsi="Arial" w:eastAsia="Times New Roman" w:cs="Times New Roman"/>
      <w:sz w:val="24"/>
      <w:szCs w:val="24"/>
      <w:lang w:val="pt-BR"/>
    </w:rPr>
  </w:style>
  <w:style w:type="character" w:customStyle="1" w:styleId="167">
    <w:name w:val="Recuo de corpo de texto 2 Char1"/>
    <w:qFormat/>
    <w:uiPriority w:val="0"/>
    <w:rPr>
      <w:rFonts w:ascii="Arial" w:hAnsi="Arial" w:eastAsia="Times New Roman" w:cs="Times New Roman"/>
      <w:sz w:val="23"/>
      <w:szCs w:val="20"/>
      <w:lang w:val="pt-BR"/>
    </w:rPr>
  </w:style>
  <w:style w:type="character" w:customStyle="1" w:styleId="168">
    <w:name w:val="Cabeçalho Char1"/>
    <w:qFormat/>
    <w:uiPriority w:val="0"/>
    <w:rPr>
      <w:rFonts w:ascii="Times New Roman" w:hAnsi="Times New Roman" w:eastAsia="Times New Roman" w:cs="Times New Roman"/>
      <w:sz w:val="24"/>
      <w:szCs w:val="24"/>
      <w:lang w:val="pt-BR"/>
    </w:rPr>
  </w:style>
  <w:style w:type="character" w:customStyle="1" w:styleId="169">
    <w:name w:val="Corpo de texto 2 Char1"/>
    <w:qFormat/>
    <w:uiPriority w:val="0"/>
    <w:rPr>
      <w:rFonts w:ascii="Arial" w:hAnsi="Arial" w:eastAsia="Times New Roman" w:cs="Times New Roman"/>
      <w:i/>
      <w:sz w:val="20"/>
      <w:szCs w:val="20"/>
      <w:lang w:val="pt-BR"/>
    </w:rPr>
  </w:style>
  <w:style w:type="character" w:customStyle="1" w:styleId="170">
    <w:name w:val="Recuo de corpo de texto 3 Char1"/>
    <w:qFormat/>
    <w:uiPriority w:val="0"/>
    <w:rPr>
      <w:rFonts w:ascii="Arial" w:hAnsi="Arial" w:eastAsia="Times New Roman" w:cs="Times New Roman"/>
      <w:bCs/>
      <w:sz w:val="21"/>
      <w:szCs w:val="20"/>
      <w:lang w:val="pt-BR"/>
    </w:rPr>
  </w:style>
  <w:style w:type="paragraph" w:customStyle="1" w:styleId="171">
    <w:name w:val="Título1"/>
    <w:basedOn w:val="1"/>
    <w:next w:val="14"/>
    <w:qFormat/>
    <w:uiPriority w:val="0"/>
    <w:pPr>
      <w:overflowPunct w:val="0"/>
      <w:jc w:val="center"/>
      <w:textAlignment w:val="auto"/>
    </w:pPr>
    <w:rPr>
      <w:rFonts w:ascii="Arial" w:hAnsi="Arial" w:cs="Arial"/>
      <w:b/>
      <w:bCs/>
      <w:sz w:val="21"/>
      <w:szCs w:val="24"/>
      <w:lang w:val="pt-BR"/>
    </w:rPr>
  </w:style>
  <w:style w:type="paragraph" w:customStyle="1" w:styleId="172">
    <w:name w:val="Índice"/>
    <w:basedOn w:val="1"/>
    <w:qFormat/>
    <w:uiPriority w:val="0"/>
    <w:pPr>
      <w:suppressLineNumbers/>
    </w:pPr>
    <w:rPr>
      <w:rFonts w:cs="Mangal"/>
    </w:rPr>
  </w:style>
  <w:style w:type="paragraph" w:customStyle="1" w:styleId="173">
    <w:name w:val="Cabeçalho e Rodapé"/>
    <w:basedOn w:val="1"/>
    <w:qFormat/>
    <w:uiPriority w:val="0"/>
    <w:pPr>
      <w:suppressLineNumbers/>
      <w:tabs>
        <w:tab w:val="center" w:pos="4819"/>
        <w:tab w:val="right" w:pos="9638"/>
      </w:tabs>
    </w:pPr>
  </w:style>
  <w:style w:type="paragraph" w:customStyle="1" w:styleId="174">
    <w:name w:val="Divisão de Tabelas"/>
    <w:basedOn w:val="1"/>
    <w:qFormat/>
    <w:uiPriority w:val="0"/>
    <w:pPr>
      <w:spacing w:line="20" w:lineRule="exact"/>
    </w:pPr>
  </w:style>
  <w:style w:type="paragraph" w:styleId="175">
    <w:name w:val="List Paragraph"/>
    <w:basedOn w:val="1"/>
    <w:qFormat/>
    <w:uiPriority w:val="0"/>
    <w:pPr>
      <w:ind w:left="708" w:right="0" w:firstLine="0"/>
    </w:pPr>
  </w:style>
  <w:style w:type="paragraph" w:customStyle="1" w:styleId="176">
    <w:name w:val="msolistparagraph"/>
    <w:basedOn w:val="1"/>
    <w:qFormat/>
    <w:uiPriority w:val="0"/>
    <w:pPr>
      <w:ind w:left="708" w:right="0" w:firstLine="0"/>
      <w:textAlignment w:val="auto"/>
    </w:pPr>
  </w:style>
  <w:style w:type="paragraph" w:customStyle="1" w:styleId="177">
    <w:name w:val="msolistparagraphcxspmiddle"/>
    <w:basedOn w:val="1"/>
    <w:qFormat/>
    <w:uiPriority w:val="0"/>
    <w:pPr>
      <w:overflowPunct w:val="0"/>
      <w:spacing w:before="100" w:after="100"/>
      <w:textAlignment w:val="auto"/>
    </w:pPr>
    <w:rPr>
      <w:sz w:val="24"/>
      <w:szCs w:val="24"/>
    </w:rPr>
  </w:style>
  <w:style w:type="paragraph" w:customStyle="1" w:styleId="178">
    <w:name w:val="msolistparagraphcxsplast"/>
    <w:basedOn w:val="1"/>
    <w:qFormat/>
    <w:uiPriority w:val="0"/>
    <w:pPr>
      <w:overflowPunct w:val="0"/>
      <w:spacing w:before="100" w:after="100"/>
      <w:textAlignment w:val="auto"/>
    </w:pPr>
    <w:rPr>
      <w:sz w:val="24"/>
      <w:szCs w:val="24"/>
    </w:rPr>
  </w:style>
  <w:style w:type="paragraph" w:customStyle="1" w:styleId="179">
    <w:name w:val="western"/>
    <w:basedOn w:val="1"/>
    <w:qFormat/>
    <w:uiPriority w:val="0"/>
    <w:pPr>
      <w:overflowPunct w:val="0"/>
      <w:spacing w:before="100" w:after="0"/>
      <w:jc w:val="both"/>
      <w:textAlignment w:val="auto"/>
    </w:pPr>
    <w:rPr>
      <w:sz w:val="24"/>
      <w:szCs w:val="24"/>
    </w:rPr>
  </w:style>
  <w:style w:type="paragraph" w:customStyle="1" w:styleId="180">
    <w:name w:val="Conteúdo da tabela"/>
    <w:basedOn w:val="1"/>
    <w:qFormat/>
    <w:uiPriority w:val="0"/>
    <w:pPr>
      <w:suppressLineNumbers/>
    </w:pPr>
  </w:style>
  <w:style w:type="paragraph" w:customStyle="1" w:styleId="181">
    <w:name w:val="Título de tabela"/>
    <w:basedOn w:val="180"/>
    <w:qFormat/>
    <w:uiPriority w:val="0"/>
    <w:pPr>
      <w:suppressLineNumbers/>
      <w:jc w:val="center"/>
    </w:pPr>
    <w:rPr>
      <w:b/>
      <w:bCs/>
    </w:rPr>
  </w:style>
  <w:style w:type="paragraph" w:styleId="182">
    <w:name w:val="No Spacing"/>
    <w:qFormat/>
    <w:uiPriority w:val="1"/>
    <w:rPr>
      <w:rFonts w:ascii="Times New Roman" w:hAnsi="Times New Roman" w:eastAsia="Times New Roman" w:cs="Times New Roman"/>
      <w:lang w:val="pt-BR" w:eastAsia="pt-BR"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51</Pages>
  <Words>11869</Words>
  <Characters>69601</Characters>
  <Paragraphs>771</Paragraphs>
  <TotalTime>11</TotalTime>
  <ScaleCrop>false</ScaleCrop>
  <LinksUpToDate>false</LinksUpToDate>
  <CharactersWithSpaces>81465</CharactersWithSpaces>
  <Application>WPS Office_11.2.0.11537_F1E327BC-269C-435d-A152-05C5408002CA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jaquemascioli</cp:lastModifiedBy>
  <cp:lastPrinted>2023-09-21T15:50:03Z</cp:lastPrinted>
  <dcterms:modified xsi:type="dcterms:W3CDTF">2023-09-21T16:00:23Z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1046-11.2.0.11537</vt:lpwstr>
  </property>
  <property fmtid="{D5CDD505-2E9C-101B-9397-08002B2CF9AE}" pid="14" name="ICV">
    <vt:lpwstr>F735F0A77F02417BB8B3985244A1C044</vt:lpwstr>
  </property>
</Properties>
</file>