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ESTUDOS TÉCNICOS PRELIMINARES</w:t>
      </w:r>
    </w:p>
    <w:p>
      <w:pPr>
        <w:pStyle w:val="18"/>
        <w:spacing w:before="41" w:line="360" w:lineRule="auto"/>
        <w:ind w:left="105"/>
        <w:rPr>
          <w:rFonts w:hint="default" w:ascii="Times New Roman" w:hAnsi="Times New Roman" w:cs="Times New Roman"/>
          <w:sz w:val="24"/>
          <w:szCs w:val="24"/>
          <w:highlight w:val="none"/>
          <w:lang w:val="pt-BR"/>
        </w:rPr>
      </w:pPr>
    </w:p>
    <w:p>
      <w:pPr>
        <w:pStyle w:val="18"/>
        <w:spacing w:before="41" w:line="360" w:lineRule="auto"/>
        <w:ind w:left="0"/>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1 – OBJETO DA CONTRATAÇÃO</w:t>
      </w:r>
    </w:p>
    <w:p>
      <w:pPr>
        <w:spacing w:line="360" w:lineRule="auto"/>
        <w:ind w:firstLine="708"/>
        <w:jc w:val="both"/>
        <w:rPr>
          <w:rFonts w:hint="default" w:ascii="Times New Roman" w:hAnsi="Times New Roman" w:eastAsia="Calibri" w:cs="Times New Roman"/>
          <w:sz w:val="24"/>
          <w:szCs w:val="24"/>
          <w:highlight w:val="none"/>
        </w:rPr>
      </w:pPr>
      <w:r>
        <w:rPr>
          <w:rFonts w:hint="default" w:ascii="Times New Roman" w:hAnsi="Times New Roman" w:eastAsia="Calibri" w:cs="Times New Roman"/>
          <w:sz w:val="24"/>
          <w:szCs w:val="24"/>
          <w:highlight w:val="none"/>
        </w:rPr>
        <w:t xml:space="preserve">Contratação de empresa especializada para executar a obra de reforma do Centro </w:t>
      </w:r>
      <w:r>
        <w:rPr>
          <w:rFonts w:hint="default" w:ascii="Times New Roman" w:hAnsi="Times New Roman" w:eastAsia="Calibri" w:cs="Times New Roman"/>
          <w:sz w:val="24"/>
          <w:szCs w:val="24"/>
          <w:highlight w:val="none"/>
          <w:lang w:val="pt-BR"/>
        </w:rPr>
        <w:t xml:space="preserve">de Especialidades </w:t>
      </w:r>
      <w:r>
        <w:rPr>
          <w:rFonts w:hint="default" w:ascii="Times New Roman" w:hAnsi="Times New Roman" w:eastAsia="Calibri" w:cs="Times New Roman"/>
          <w:sz w:val="24"/>
          <w:szCs w:val="24"/>
          <w:highlight w:val="none"/>
        </w:rPr>
        <w:t>Odontológic</w:t>
      </w:r>
      <w:r>
        <w:rPr>
          <w:rFonts w:hint="default" w:ascii="Times New Roman" w:hAnsi="Times New Roman" w:eastAsia="Calibri" w:cs="Times New Roman"/>
          <w:sz w:val="24"/>
          <w:szCs w:val="24"/>
          <w:highlight w:val="none"/>
          <w:lang w:val="pt-BR"/>
        </w:rPr>
        <w:t>as</w:t>
      </w:r>
      <w:r>
        <w:rPr>
          <w:rFonts w:hint="default" w:ascii="Times New Roman" w:hAnsi="Times New Roman" w:eastAsia="Calibri" w:cs="Times New Roman"/>
          <w:sz w:val="24"/>
          <w:szCs w:val="24"/>
          <w:highlight w:val="none"/>
        </w:rPr>
        <w:t>, no município de Naviraí/MS, incluindo material e mão de obra, conforme orientações contidas neste Estudo Técnico Preliminar.</w:t>
      </w:r>
    </w:p>
    <w:p>
      <w:pPr>
        <w:spacing w:line="360" w:lineRule="auto"/>
        <w:jc w:val="both"/>
        <w:rPr>
          <w:rFonts w:hint="default" w:ascii="Times New Roman" w:hAnsi="Times New Roman" w:cs="Times New Roman"/>
          <w:b/>
          <w:sz w:val="24"/>
          <w:highlight w:val="none"/>
        </w:rPr>
      </w:pPr>
      <w:r>
        <w:rPr>
          <w:rFonts w:hint="default" w:ascii="Times New Roman" w:hAnsi="Times New Roman" w:cs="Times New Roman"/>
          <w:b/>
          <w:sz w:val="24"/>
          <w:highlight w:val="none"/>
        </w:rPr>
        <w:t>2</w:t>
      </w:r>
      <w:r>
        <w:rPr>
          <w:rFonts w:hint="default" w:ascii="Times New Roman" w:hAnsi="Times New Roman" w:cs="Times New Roman"/>
          <w:b/>
          <w:sz w:val="24"/>
          <w:highlight w:val="none"/>
          <w:lang w:val="pt-BR"/>
        </w:rPr>
        <w:t xml:space="preserve"> </w:t>
      </w:r>
      <w:r>
        <w:rPr>
          <w:rFonts w:hint="default" w:ascii="Times New Roman" w:hAnsi="Times New Roman" w:cs="Times New Roman"/>
          <w:b/>
          <w:sz w:val="24"/>
          <w:highlight w:val="none"/>
        </w:rPr>
        <w:t xml:space="preserve">– SUPORTE LEGAL </w:t>
      </w:r>
    </w:p>
    <w:p>
      <w:pPr>
        <w:pStyle w:val="18"/>
        <w:numPr>
          <w:ilvl w:val="0"/>
          <w:numId w:val="1"/>
        </w:numPr>
        <w:spacing w:line="360" w:lineRule="auto"/>
        <w:ind w:left="426"/>
        <w:rPr>
          <w:rFonts w:hint="default" w:ascii="Times New Roman" w:hAnsi="Times New Roman" w:cs="Times New Roman"/>
          <w:sz w:val="24"/>
          <w:szCs w:val="24"/>
          <w:highlight w:val="none"/>
          <w:lang w:val="pt-BR"/>
        </w:rPr>
      </w:pPr>
      <w:bookmarkStart w:id="0" w:name="_Hlk89085876"/>
      <w:r>
        <w:rPr>
          <w:rFonts w:hint="default" w:ascii="Times New Roman" w:hAnsi="Times New Roman" w:cs="Times New Roman"/>
          <w:sz w:val="24"/>
          <w:szCs w:val="24"/>
          <w:highlight w:val="none"/>
          <w:lang w:val="pt-BR"/>
        </w:rPr>
        <w:t>Lei nº 8.666/93 (Lei de Licitações);</w:t>
      </w:r>
    </w:p>
    <w:p>
      <w:pPr>
        <w:pStyle w:val="18"/>
        <w:numPr>
          <w:ilvl w:val="0"/>
          <w:numId w:val="0"/>
        </w:numPr>
        <w:spacing w:line="360" w:lineRule="auto"/>
        <w:ind w:left="66" w:leftChars="0"/>
        <w:rPr>
          <w:rFonts w:hint="default" w:ascii="Times New Roman" w:hAnsi="Times New Roman" w:cs="Times New Roman"/>
          <w:sz w:val="24"/>
          <w:szCs w:val="24"/>
          <w:highlight w:val="yellow"/>
          <w:lang w:val="pt-BR"/>
        </w:rPr>
      </w:pPr>
    </w:p>
    <w:bookmarkEnd w:id="0"/>
    <w:p>
      <w:pPr>
        <w:pStyle w:val="18"/>
        <w:spacing w:before="41" w:line="360" w:lineRule="auto"/>
        <w:ind w:left="0"/>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3</w:t>
      </w:r>
      <w:r>
        <w:rPr>
          <w:rFonts w:hint="default" w:cs="Times New Roman"/>
          <w:b/>
          <w:sz w:val="24"/>
          <w:szCs w:val="24"/>
          <w:highlight w:val="none"/>
          <w:lang w:val="pt-BR"/>
        </w:rPr>
        <w:t xml:space="preserve"> </w:t>
      </w:r>
      <w:r>
        <w:rPr>
          <w:rFonts w:hint="default" w:ascii="Times New Roman" w:hAnsi="Times New Roman" w:cs="Times New Roman"/>
          <w:b/>
          <w:sz w:val="24"/>
          <w:szCs w:val="24"/>
          <w:highlight w:val="none"/>
          <w:lang w:val="pt-BR"/>
        </w:rPr>
        <w:t xml:space="preserve">– ANÁLISE DA CONTRATAÇÃO ANTERIOR </w:t>
      </w:r>
    </w:p>
    <w:p>
      <w:pPr>
        <w:pStyle w:val="18"/>
        <w:spacing w:before="41" w:line="360" w:lineRule="auto"/>
        <w:ind w:left="105" w:firstLine="604"/>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Não se aplica.</w:t>
      </w:r>
    </w:p>
    <w:p>
      <w:pPr>
        <w:pStyle w:val="18"/>
        <w:spacing w:before="41" w:line="360" w:lineRule="auto"/>
        <w:ind w:left="105" w:firstLine="604"/>
        <w:jc w:val="both"/>
        <w:rPr>
          <w:rFonts w:hint="default" w:ascii="Times New Roman" w:hAnsi="Times New Roman" w:cs="Times New Roman"/>
          <w:sz w:val="24"/>
          <w:szCs w:val="24"/>
          <w:highlight w:val="none"/>
          <w:lang w:val="pt-BR"/>
        </w:rPr>
      </w:pPr>
    </w:p>
    <w:p>
      <w:pPr>
        <w:spacing w:after="0" w:line="360" w:lineRule="auto"/>
        <w:jc w:val="both"/>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4 – JUSTIFICATIVA DA NECESSIDADE DA CONTRATAÇÃO</w:t>
      </w:r>
    </w:p>
    <w:p>
      <w:pPr>
        <w:spacing w:after="0" w:line="36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Em 2003 o Ministério da Saúde lançou a Política Nacional de Saúde Bucal que se constitui em uma série de medidas que visam garantir ações de promoção, prevenção e recuperação da saúde bucal dos brasileiros, fundamental para a saúde geral e qualidade de vida da população. Entre as principais linhas de ação do programa estão a ampliação e qualificação da atenção especializada, especialmente através da implantação de Centros de Especialidades Odontológicas- CEO e Laboratórios Regionais de Prótese.</w:t>
      </w:r>
    </w:p>
    <w:p>
      <w:pPr>
        <w:spacing w:after="0" w:line="36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A Reforma do CEO Tipo II irá ampliar e qualificar a oferta de serviços odontológicos especializados à população do município de Naviraí e dos municípios da microrregião Juti, Itaquiraí, Eldorado, Japorã, Mundo Novo e Iguatemi, voltadas para os cidadãos de todas as idades, possibilitando a ampliação do acesso ao tratamento odontológico gratuito aos brasileiros por meio do Sistema Único de Saúde (SUS).</w:t>
      </w:r>
    </w:p>
    <w:p>
      <w:pPr>
        <w:spacing w:after="0" w:line="36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Proporcionará a biossegurança necessária e a funcionalidade como um todo, resultando em um ambiente adequado para a realização dos atendimentos especializados, garantindo a melhoria da assistência aos usuários do Sistema Único de Saúde SUS e dando condições de trabalho aos profissionais de saúde envolvidos.</w:t>
      </w:r>
    </w:p>
    <w:p>
      <w:pPr>
        <w:spacing w:after="0" w:line="36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Nesse sentido, se faz necessária a contratação em tela.</w:t>
      </w:r>
    </w:p>
    <w:p>
      <w:pPr>
        <w:spacing w:after="0" w:line="360" w:lineRule="auto"/>
        <w:ind w:firstLine="709"/>
        <w:jc w:val="both"/>
        <w:rPr>
          <w:rFonts w:hint="default" w:ascii="Times New Roman" w:hAnsi="Times New Roman" w:cs="Times New Roman"/>
          <w:sz w:val="24"/>
          <w:szCs w:val="24"/>
          <w:highlight w:val="yellow"/>
        </w:rPr>
      </w:pPr>
    </w:p>
    <w:p>
      <w:pPr>
        <w:pStyle w:val="18"/>
        <w:spacing w:before="41" w:line="360" w:lineRule="auto"/>
        <w:ind w:left="0"/>
        <w:jc w:val="both"/>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5 – PLANEJAMENTO</w:t>
      </w:r>
    </w:p>
    <w:p>
      <w:pPr>
        <w:pStyle w:val="18"/>
        <w:spacing w:before="41" w:line="360" w:lineRule="auto"/>
        <w:ind w:left="105"/>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pt-BR"/>
        </w:rPr>
        <w:t xml:space="preserve">           As despesas decorrentes consecução do objeto contratual correrão à conta da seguinte dotação orçamentaria indicada pelo gestor, vigente na Prefeitura Municipal de Naviraí para o exercício corrente:</w:t>
      </w:r>
    </w:p>
    <w:p>
      <w:pPr>
        <w:numPr>
          <w:ilvl w:val="0"/>
          <w:numId w:val="2"/>
        </w:numPr>
        <w:spacing w:after="0" w:line="360" w:lineRule="auto"/>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Federal – Contrato de Repasse nº. 892213/2019/MS/CAIXA, no valor de R$ 250.000,00.</w:t>
      </w:r>
    </w:p>
    <w:p>
      <w:pPr>
        <w:spacing w:line="360" w:lineRule="auto"/>
        <w:ind w:left="2476" w:firstLine="360"/>
        <w:jc w:val="both"/>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 xml:space="preserve">Fonte: </w:t>
      </w:r>
      <w:r>
        <w:rPr>
          <w:rFonts w:hint="default" w:ascii="Times New Roman" w:hAnsi="Times New Roman" w:cs="Times New Roman"/>
          <w:sz w:val="24"/>
          <w:szCs w:val="24"/>
          <w:highlight w:val="none"/>
          <w:lang w:val="pt-BR"/>
        </w:rPr>
        <w:t>1631</w:t>
      </w:r>
      <w:r>
        <w:rPr>
          <w:rFonts w:hint="default" w:ascii="Times New Roman" w:hAnsi="Times New Roman" w:cs="Times New Roman"/>
          <w:sz w:val="24"/>
          <w:szCs w:val="24"/>
          <w:highlight w:val="none"/>
        </w:rPr>
        <w:t>;</w:t>
      </w:r>
    </w:p>
    <w:p>
      <w:pPr>
        <w:spacing w:line="360" w:lineRule="auto"/>
        <w:ind w:left="2476" w:firstLine="360"/>
        <w:jc w:val="both"/>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Despesa:</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pt-BR"/>
        </w:rPr>
        <w:t>841</w:t>
      </w:r>
      <w:r>
        <w:rPr>
          <w:rFonts w:hint="default" w:ascii="Times New Roman" w:hAnsi="Times New Roman" w:cs="Times New Roman"/>
          <w:sz w:val="24"/>
          <w:szCs w:val="24"/>
          <w:highlight w:val="none"/>
        </w:rPr>
        <w:t>;</w:t>
      </w:r>
    </w:p>
    <w:p>
      <w:pPr>
        <w:spacing w:line="360" w:lineRule="auto"/>
        <w:ind w:left="2476" w:firstLine="360"/>
        <w:jc w:val="both"/>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Detalhamento da Fonte:</w:t>
      </w:r>
      <w:r>
        <w:rPr>
          <w:rFonts w:hint="default" w:ascii="Times New Roman" w:hAnsi="Times New Roman" w:cs="Times New Roman"/>
          <w:sz w:val="24"/>
          <w:szCs w:val="24"/>
          <w:highlight w:val="none"/>
        </w:rPr>
        <w:t xml:space="preserve"> UNIÃO/APS;</w:t>
      </w:r>
    </w:p>
    <w:p>
      <w:pPr>
        <w:numPr>
          <w:ilvl w:val="0"/>
          <w:numId w:val="2"/>
        </w:numPr>
        <w:spacing w:after="0" w:line="360" w:lineRule="auto"/>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Contrapartida no valor de R$ 4</w:t>
      </w:r>
      <w:r>
        <w:rPr>
          <w:rFonts w:hint="default" w:ascii="Times New Roman" w:hAnsi="Times New Roman" w:cs="Times New Roman"/>
          <w:sz w:val="24"/>
          <w:szCs w:val="24"/>
          <w:highlight w:val="none"/>
          <w:lang w:val="pt-BR"/>
        </w:rPr>
        <w:t>75</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pt-BR"/>
        </w:rPr>
        <w:t>215</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pt-BR"/>
        </w:rPr>
        <w:t>2</w:t>
      </w:r>
      <w:r>
        <w:rPr>
          <w:rFonts w:hint="default" w:ascii="Times New Roman" w:hAnsi="Times New Roman" w:cs="Times New Roman"/>
          <w:sz w:val="24"/>
          <w:szCs w:val="24"/>
          <w:highlight w:val="none"/>
        </w:rPr>
        <w:t>7.</w:t>
      </w:r>
    </w:p>
    <w:p>
      <w:pPr>
        <w:spacing w:line="360" w:lineRule="auto"/>
        <w:ind w:left="2476" w:firstLine="360"/>
        <w:jc w:val="both"/>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 xml:space="preserve">Fonte: </w:t>
      </w:r>
      <w:r>
        <w:rPr>
          <w:rFonts w:hint="default" w:ascii="Times New Roman" w:hAnsi="Times New Roman" w:cs="Times New Roman"/>
          <w:sz w:val="24"/>
          <w:szCs w:val="24"/>
          <w:highlight w:val="none"/>
          <w:lang w:val="pt-BR"/>
        </w:rPr>
        <w:t>1500</w:t>
      </w:r>
      <w:r>
        <w:rPr>
          <w:rFonts w:hint="default" w:ascii="Times New Roman" w:hAnsi="Times New Roman" w:cs="Times New Roman"/>
          <w:sz w:val="24"/>
          <w:szCs w:val="24"/>
          <w:highlight w:val="none"/>
        </w:rPr>
        <w:t>;</w:t>
      </w:r>
    </w:p>
    <w:p>
      <w:pPr>
        <w:spacing w:line="360" w:lineRule="auto"/>
        <w:ind w:left="2476" w:firstLine="360"/>
        <w:jc w:val="both"/>
        <w:rPr>
          <w:rFonts w:hint="default" w:ascii="Times New Roman" w:hAnsi="Times New Roman" w:cs="Times New Roman"/>
          <w:sz w:val="24"/>
          <w:szCs w:val="24"/>
          <w:highlight w:val="none"/>
          <w:lang w:val="pt-BR"/>
        </w:rPr>
      </w:pPr>
      <w:r>
        <w:rPr>
          <w:rFonts w:hint="default" w:ascii="Times New Roman" w:hAnsi="Times New Roman" w:cs="Times New Roman"/>
          <w:b/>
          <w:sz w:val="24"/>
          <w:szCs w:val="24"/>
          <w:highlight w:val="none"/>
        </w:rPr>
        <w:t>Despesa:</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pt-BR"/>
        </w:rPr>
        <w:t>1142</w:t>
      </w:r>
      <w:r>
        <w:rPr>
          <w:rFonts w:hint="default" w:ascii="Times New Roman" w:hAnsi="Times New Roman" w:cs="Times New Roman"/>
          <w:sz w:val="24"/>
          <w:szCs w:val="24"/>
          <w:highlight w:val="none"/>
        </w:rPr>
        <w:t>;</w:t>
      </w:r>
    </w:p>
    <w:p>
      <w:pPr>
        <w:spacing w:line="360" w:lineRule="auto"/>
        <w:ind w:left="2476" w:firstLine="360"/>
        <w:jc w:val="both"/>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Detalhamento da Fonte:</w:t>
      </w:r>
      <w:r>
        <w:rPr>
          <w:rFonts w:hint="default" w:ascii="Times New Roman" w:hAnsi="Times New Roman" w:cs="Times New Roman"/>
          <w:sz w:val="24"/>
          <w:szCs w:val="24"/>
          <w:highlight w:val="none"/>
        </w:rPr>
        <w:t xml:space="preserve"> FUS/APS;</w:t>
      </w:r>
    </w:p>
    <w:p>
      <w:pPr>
        <w:pStyle w:val="18"/>
        <w:spacing w:before="41" w:line="480" w:lineRule="auto"/>
        <w:ind w:left="0"/>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6 – REQUISITOS DA CONTRATAÇÃO</w:t>
      </w:r>
    </w:p>
    <w:p>
      <w:pPr>
        <w:spacing w:before="40" w:after="40" w:line="360" w:lineRule="auto"/>
        <w:ind w:firstLine="709"/>
        <w:jc w:val="both"/>
        <w:rPr>
          <w:rFonts w:hint="default" w:ascii="Times New Roman" w:hAnsi="Times New Roman" w:cs="Times New Roman"/>
          <w:bCs/>
          <w:sz w:val="24"/>
          <w:szCs w:val="24"/>
          <w:highlight w:val="none"/>
        </w:rPr>
      </w:pPr>
      <w:r>
        <w:rPr>
          <w:rFonts w:hint="default" w:ascii="Times New Roman" w:hAnsi="Times New Roman" w:cs="Times New Roman"/>
          <w:sz w:val="24"/>
          <w:szCs w:val="24"/>
          <w:highlight w:val="none"/>
        </w:rPr>
        <w:t xml:space="preserve">De acordo com a equipe de </w:t>
      </w:r>
      <w:r>
        <w:rPr>
          <w:rFonts w:hint="default" w:ascii="Times New Roman" w:hAnsi="Times New Roman" w:cs="Times New Roman"/>
          <w:bCs/>
          <w:sz w:val="24"/>
          <w:szCs w:val="24"/>
          <w:highlight w:val="none"/>
        </w:rPr>
        <w:t xml:space="preserve">estudos técnico preliminar, recomenda-se como requisitos mínimos da contratação: </w:t>
      </w:r>
    </w:p>
    <w:p>
      <w:pPr>
        <w:numPr>
          <w:ilvl w:val="0"/>
          <w:numId w:val="3"/>
        </w:numPr>
        <w:spacing w:after="0" w:line="360" w:lineRule="auto"/>
        <w:ind w:left="1134" w:firstLine="0"/>
        <w:jc w:val="both"/>
        <w:rPr>
          <w:rFonts w:hint="default" w:ascii="Times New Roman" w:hAnsi="Times New Roman" w:cs="Times New Roman"/>
          <w:b/>
          <w:bCs/>
          <w:i/>
          <w:highlight w:val="none"/>
        </w:rPr>
      </w:pPr>
      <w:r>
        <w:rPr>
          <w:rFonts w:hint="default" w:ascii="Times New Roman" w:hAnsi="Times New Roman" w:cs="Times New Roman"/>
          <w:i/>
          <w:highlight w:val="none"/>
        </w:rPr>
        <w:t>Prova de Registro ou inscrição da Empresa e de seus responsáveis técnicos junto ao Conselho Regional de Engenharia e Agronomia – CREA ou Arquiteto e Urbanista reconhecido pelo Conselho de Arquitetura e Urbanismo CAU.</w:t>
      </w:r>
    </w:p>
    <w:p>
      <w:pPr>
        <w:pStyle w:val="20"/>
        <w:numPr>
          <w:ilvl w:val="0"/>
          <w:numId w:val="3"/>
        </w:numPr>
        <w:spacing w:line="360" w:lineRule="auto"/>
        <w:ind w:left="1098" w:leftChars="484" w:hanging="33" w:hangingChars="15"/>
        <w:jc w:val="both"/>
        <w:rPr>
          <w:rFonts w:hint="default" w:ascii="Times New Roman" w:hAnsi="Times New Roman" w:cs="Times New Roman"/>
          <w:bCs/>
          <w:i/>
          <w:color w:val="000000" w:themeColor="text1"/>
          <w:sz w:val="22"/>
          <w:szCs w:val="22"/>
          <w:highlight w:val="none"/>
          <w14:textFill>
            <w14:solidFill>
              <w14:schemeClr w14:val="tx1"/>
            </w14:solidFill>
          </w14:textFill>
        </w:rPr>
      </w:pPr>
      <w:r>
        <w:rPr>
          <w:rFonts w:hint="default" w:ascii="Times New Roman" w:hAnsi="Times New Roman" w:cs="Times New Roman"/>
          <w:i/>
          <w:color w:val="000000" w:themeColor="text1"/>
          <w:sz w:val="22"/>
          <w:szCs w:val="22"/>
          <w:highlight w:val="none"/>
          <w14:textFill>
            <w14:solidFill>
              <w14:schemeClr w14:val="tx1"/>
            </w14:solidFill>
          </w14:textFill>
        </w:rPr>
        <w:t>Comprovação do licitante de possuir em seu quadro permanente em sentido amplo (empregado, sócio ou prestador de serviço), profissional de nível superior registrado no conselho respectivo, detentor de atestado de responsabilidade técnica por execução de obras de características semelhantes, que poderá ser realizada através da apresentação dos seguintes documentos:</w:t>
      </w:r>
    </w:p>
    <w:p>
      <w:pPr>
        <w:spacing w:after="0" w:line="360" w:lineRule="auto"/>
        <w:ind w:left="1098" w:leftChars="484" w:hanging="33" w:hangingChars="15"/>
        <w:jc w:val="both"/>
        <w:rPr>
          <w:rFonts w:hint="default" w:ascii="Times New Roman" w:hAnsi="Times New Roman" w:cs="Times New Roman"/>
          <w:i/>
          <w:color w:val="000000" w:themeColor="text1"/>
          <w:highlight w:val="none"/>
          <w14:textFill>
            <w14:solidFill>
              <w14:schemeClr w14:val="tx1"/>
            </w14:solidFill>
          </w14:textFill>
        </w:rPr>
      </w:pPr>
      <w:r>
        <w:rPr>
          <w:rFonts w:hint="default" w:ascii="Times New Roman" w:hAnsi="Times New Roman" w:cs="Times New Roman"/>
          <w:i/>
          <w:color w:val="000000" w:themeColor="text1"/>
          <w:highlight w:val="none"/>
          <w14:textFill>
            <w14:solidFill>
              <w14:schemeClr w14:val="tx1"/>
            </w14:solidFill>
          </w14:textFill>
        </w:rPr>
        <w:t xml:space="preserve">a) Trabalhista: através da apresentação de cópia autenticada da “Ficha de Registro de Empregado” registrada na DRT ou de anotação na Carteira de Trabalho e Previdência Social – CTPS; </w:t>
      </w:r>
    </w:p>
    <w:p>
      <w:pPr>
        <w:spacing w:after="0" w:line="360" w:lineRule="auto"/>
        <w:ind w:left="1098" w:leftChars="484" w:hanging="33" w:hangingChars="15"/>
        <w:jc w:val="both"/>
        <w:rPr>
          <w:rFonts w:hint="default" w:ascii="Times New Roman" w:hAnsi="Times New Roman" w:cs="Times New Roman"/>
          <w:i/>
          <w:color w:val="000000" w:themeColor="text1"/>
          <w:highlight w:val="none"/>
          <w14:textFill>
            <w14:solidFill>
              <w14:schemeClr w14:val="tx1"/>
            </w14:solidFill>
          </w14:textFill>
        </w:rPr>
      </w:pPr>
      <w:r>
        <w:rPr>
          <w:rFonts w:hint="default" w:ascii="Times New Roman" w:hAnsi="Times New Roman" w:cs="Times New Roman"/>
          <w:i/>
          <w:color w:val="000000" w:themeColor="text1"/>
          <w:highlight w:val="none"/>
          <w14:textFill>
            <w14:solidFill>
              <w14:schemeClr w14:val="tx1"/>
            </w14:solidFill>
          </w14:textFill>
        </w:rPr>
        <w:t>b) Contratual: através da apresentação de cópia autenticada do Instrumento Particular de Contrato de Prestação de Serviços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pPr>
        <w:spacing w:after="0" w:line="360" w:lineRule="auto"/>
        <w:ind w:left="1098" w:leftChars="484" w:hanging="33" w:hangingChars="15"/>
        <w:jc w:val="both"/>
        <w:rPr>
          <w:rFonts w:hint="default" w:ascii="Times New Roman" w:hAnsi="Times New Roman" w:cs="Times New Roman"/>
          <w:i/>
          <w:color w:val="000000" w:themeColor="text1"/>
          <w:highlight w:val="none"/>
          <w14:textFill>
            <w14:solidFill>
              <w14:schemeClr w14:val="tx1"/>
            </w14:solidFill>
          </w14:textFill>
        </w:rPr>
      </w:pPr>
      <w:r>
        <w:rPr>
          <w:rFonts w:hint="default" w:ascii="Times New Roman" w:hAnsi="Times New Roman" w:cs="Times New Roman"/>
          <w:i/>
          <w:color w:val="000000" w:themeColor="text1"/>
          <w:highlight w:val="none"/>
          <w14:textFill>
            <w14:solidFill>
              <w14:schemeClr w14:val="tx1"/>
            </w14:solidFill>
          </w14:textFill>
        </w:rPr>
        <w:t>c) Societário: através da apresentação do Ato Constitutivo, Estatuto ou Contrato Social consolidado em vigor devidamente registrado na Junta Comercial.</w:t>
      </w:r>
    </w:p>
    <w:p>
      <w:pPr>
        <w:numPr>
          <w:ilvl w:val="0"/>
          <w:numId w:val="4"/>
        </w:numPr>
        <w:tabs>
          <w:tab w:val="clear" w:pos="420"/>
        </w:tabs>
        <w:spacing w:after="0" w:line="360" w:lineRule="auto"/>
        <w:ind w:left="1098" w:leftChars="484" w:hanging="33" w:hangingChars="15"/>
        <w:jc w:val="both"/>
        <w:rPr>
          <w:rFonts w:hint="default" w:ascii="Times New Roman" w:hAnsi="Times New Roman" w:cs="Times New Roman"/>
          <w:bCs/>
          <w:i/>
          <w:sz w:val="22"/>
          <w:szCs w:val="22"/>
          <w:highlight w:val="none"/>
        </w:rPr>
      </w:pPr>
      <w:r>
        <w:rPr>
          <w:rFonts w:hint="default" w:ascii="Times New Roman" w:hAnsi="Times New Roman" w:cs="Times New Roman"/>
          <w:i/>
          <w:sz w:val="22"/>
          <w:szCs w:val="22"/>
          <w:highlight w:val="none"/>
        </w:rPr>
        <w:t xml:space="preserve">Apresentar no mínimo um (01) atestado fornecido por pessoa jurídica de direito público ou privado, comprovando a Execução de Obra de porte similar, </w:t>
      </w:r>
      <w:r>
        <w:rPr>
          <w:rFonts w:hint="default" w:ascii="Times New Roman" w:hAnsi="Times New Roman" w:cs="Times New Roman"/>
          <w:bCs/>
          <w:i/>
          <w:sz w:val="22"/>
          <w:szCs w:val="22"/>
          <w:highlight w:val="none"/>
        </w:rPr>
        <w:t>devidamente visado no CREA/CAU ou transcritos de seu acervo, em que figure os Responsáveis Técnicos da Empresa.</w:t>
      </w:r>
    </w:p>
    <w:p>
      <w:pPr>
        <w:pStyle w:val="21"/>
        <w:ind w:left="720"/>
        <w:jc w:val="both"/>
        <w:rPr>
          <w:rFonts w:hint="default" w:ascii="Times New Roman" w:hAnsi="Times New Roman" w:cs="Times New Roman"/>
          <w:color w:val="auto"/>
          <w:highlight w:val="yellow"/>
        </w:rPr>
      </w:pPr>
    </w:p>
    <w:p>
      <w:pPr>
        <w:pStyle w:val="18"/>
        <w:spacing w:before="41" w:line="480" w:lineRule="auto"/>
        <w:ind w:left="105"/>
        <w:jc w:val="both"/>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7 – ESTIMATIVA DAS QUANTIDADES E DOS PREÇOS REFERENCIAIS</w:t>
      </w:r>
    </w:p>
    <w:p>
      <w:pPr>
        <w:pStyle w:val="21"/>
        <w:spacing w:line="360" w:lineRule="auto"/>
        <w:ind w:firstLine="709"/>
        <w:jc w:val="both"/>
        <w:rPr>
          <w:rFonts w:hint="default" w:ascii="Times New Roman" w:hAnsi="Times New Roman" w:cs="Times New Roman"/>
          <w:highlight w:val="none"/>
        </w:rPr>
      </w:pPr>
      <w:r>
        <w:rPr>
          <w:rFonts w:hint="default" w:ascii="Times New Roman" w:hAnsi="Times New Roman" w:cs="Times New Roman"/>
          <w:color w:val="auto"/>
          <w:highlight w:val="none"/>
        </w:rPr>
        <w:t xml:space="preserve">As quantidades foram extraídas da planilha orçamentária, elaborada pelo setor competente, sendo estimado o montante de R$ </w:t>
      </w:r>
      <w:r>
        <w:rPr>
          <w:rFonts w:hint="default" w:ascii="Times New Roman" w:hAnsi="Times New Roman" w:cs="Times New Roman"/>
          <w:color w:val="auto"/>
          <w:highlight w:val="none"/>
          <w:lang w:val="en-US" w:eastAsia="zh-CN"/>
        </w:rPr>
        <w:t>725.215,27</w:t>
      </w:r>
      <w:r>
        <w:rPr>
          <w:rFonts w:hint="default" w:cs="Times New Roman"/>
          <w:color w:val="auto"/>
          <w:highlight w:val="none"/>
          <w:lang w:val="pt-BR" w:eastAsia="zh-CN"/>
        </w:rPr>
        <w:t xml:space="preserve"> </w:t>
      </w:r>
      <w:r>
        <w:rPr>
          <w:rFonts w:hint="default" w:ascii="Times New Roman" w:hAnsi="Times New Roman" w:cs="Times New Roman"/>
          <w:color w:val="auto"/>
          <w:highlight w:val="none"/>
        </w:rPr>
        <w:t xml:space="preserve">(Setecentos e </w:t>
      </w:r>
      <w:r>
        <w:rPr>
          <w:rFonts w:hint="default" w:cs="Times New Roman"/>
          <w:color w:val="auto"/>
          <w:highlight w:val="none"/>
          <w:lang w:val="pt-BR"/>
        </w:rPr>
        <w:t>vinte e cinco</w:t>
      </w:r>
      <w:r>
        <w:rPr>
          <w:rFonts w:hint="default" w:ascii="Times New Roman" w:hAnsi="Times New Roman" w:cs="Times New Roman"/>
          <w:color w:val="auto"/>
          <w:highlight w:val="none"/>
        </w:rPr>
        <w:t xml:space="preserve"> mil, </w:t>
      </w:r>
      <w:r>
        <w:rPr>
          <w:rFonts w:hint="default" w:cs="Times New Roman"/>
          <w:color w:val="auto"/>
          <w:highlight w:val="none"/>
          <w:lang w:val="pt-BR"/>
        </w:rPr>
        <w:t>duzentos</w:t>
      </w:r>
      <w:r>
        <w:rPr>
          <w:rFonts w:hint="default" w:ascii="Times New Roman" w:hAnsi="Times New Roman" w:cs="Times New Roman"/>
          <w:color w:val="auto"/>
          <w:highlight w:val="none"/>
        </w:rPr>
        <w:t xml:space="preserve"> e </w:t>
      </w:r>
      <w:r>
        <w:rPr>
          <w:rFonts w:hint="default" w:cs="Times New Roman"/>
          <w:color w:val="auto"/>
          <w:highlight w:val="none"/>
          <w:lang w:val="pt-BR"/>
        </w:rPr>
        <w:t>quinze</w:t>
      </w:r>
      <w:r>
        <w:rPr>
          <w:rFonts w:hint="default" w:ascii="Times New Roman" w:hAnsi="Times New Roman" w:cs="Times New Roman"/>
          <w:color w:val="auto"/>
          <w:highlight w:val="none"/>
        </w:rPr>
        <w:t xml:space="preserve"> reais e </w:t>
      </w:r>
      <w:r>
        <w:rPr>
          <w:rFonts w:hint="default" w:cs="Times New Roman"/>
          <w:color w:val="auto"/>
          <w:highlight w:val="none"/>
          <w:lang w:val="pt-BR"/>
        </w:rPr>
        <w:t>vinte</w:t>
      </w:r>
      <w:r>
        <w:rPr>
          <w:rFonts w:hint="default" w:ascii="Times New Roman" w:hAnsi="Times New Roman" w:cs="Times New Roman"/>
          <w:color w:val="auto"/>
          <w:highlight w:val="none"/>
        </w:rPr>
        <w:t xml:space="preserve"> e sete centavos), p</w:t>
      </w:r>
      <w:r>
        <w:rPr>
          <w:rFonts w:hint="default" w:ascii="Times New Roman" w:hAnsi="Times New Roman" w:cs="Times New Roman"/>
          <w:highlight w:val="none"/>
        </w:rPr>
        <w:t xml:space="preserve">ara balizamento de preços referenciais, observou-se também a planilha orçamentária, onde possui como referência a tabela Sinapi e cotações, com data base de </w:t>
      </w:r>
      <w:r>
        <w:rPr>
          <w:rFonts w:hint="default" w:ascii="Times New Roman" w:hAnsi="Times New Roman" w:cs="Times New Roman"/>
          <w:highlight w:val="none"/>
          <w:lang w:val="en-US" w:eastAsia="zh-CN"/>
        </w:rPr>
        <w:t>02-23 (DES.)</w:t>
      </w:r>
      <w:r>
        <w:rPr>
          <w:rFonts w:hint="default" w:ascii="Times New Roman" w:hAnsi="Times New Roman" w:cs="Times New Roman"/>
          <w:highlight w:val="none"/>
        </w:rPr>
        <w:t xml:space="preserve">, BDI </w:t>
      </w:r>
      <w:r>
        <w:rPr>
          <w:rFonts w:hint="default" w:cs="Times New Roman"/>
          <w:highlight w:val="none"/>
          <w:lang w:val="pt-BR"/>
        </w:rPr>
        <w:t xml:space="preserve"> </w:t>
      </w:r>
      <w:r>
        <w:rPr>
          <w:rFonts w:hint="default" w:ascii="Times New Roman" w:hAnsi="Times New Roman" w:cs="Times New Roman"/>
          <w:highlight w:val="none"/>
          <w:lang w:val="en-US" w:eastAsia="zh-CN"/>
        </w:rPr>
        <w:t>31,32%</w:t>
      </w:r>
      <w:r>
        <w:rPr>
          <w:rFonts w:hint="default" w:ascii="Times New Roman" w:hAnsi="Times New Roman" w:cs="Times New Roman"/>
          <w:highlight w:val="none"/>
        </w:rPr>
        <w:t>, vejamos:</w:t>
      </w:r>
    </w:p>
    <w:p>
      <w:pPr>
        <w:pStyle w:val="21"/>
        <w:spacing w:line="360" w:lineRule="auto"/>
        <w:ind w:firstLine="709"/>
        <w:jc w:val="both"/>
        <w:rPr>
          <w:rFonts w:hint="default" w:ascii="Times New Roman" w:hAnsi="Times New Roman" w:cs="Times New Roman"/>
          <w:highlight w:val="none"/>
        </w:rPr>
      </w:pPr>
    </w:p>
    <w:p>
      <w:pPr>
        <w:pStyle w:val="21"/>
        <w:spacing w:line="360" w:lineRule="auto"/>
        <w:ind w:firstLine="708" w:firstLineChars="0"/>
        <w:jc w:val="both"/>
        <w:rPr>
          <w:rFonts w:hint="default" w:ascii="Times New Roman" w:hAnsi="Times New Roman" w:cs="Times New Roman"/>
          <w:b/>
          <w:highlight w:val="none"/>
        </w:rPr>
      </w:pPr>
      <w:r>
        <w:rPr>
          <w:rFonts w:hint="default" w:ascii="Times New Roman" w:hAnsi="Times New Roman" w:cs="Times New Roman"/>
          <w:b/>
          <w:highlight w:val="none"/>
        </w:rPr>
        <w:t>7.1 PLANILHA ORÇAMENTARIA – Detalhamento dos materiais e serviços necessários pra execução da obra:</w:t>
      </w:r>
    </w:p>
    <w:p>
      <w:pPr>
        <w:pStyle w:val="21"/>
        <w:spacing w:line="360" w:lineRule="auto"/>
        <w:ind w:firstLine="708" w:firstLineChars="0"/>
        <w:jc w:val="right"/>
        <w:rPr>
          <w:rFonts w:hint="default"/>
          <w:lang w:val="pt-BR"/>
        </w:rPr>
      </w:pPr>
    </w:p>
    <w:p>
      <w:pPr>
        <w:pStyle w:val="18"/>
        <w:ind w:left="-142" w:firstLine="425"/>
        <w:rPr>
          <w:rFonts w:hint="default" w:ascii="Times New Roman" w:hAnsi="Times New Roman" w:cs="Times New Roman"/>
          <w:sz w:val="24"/>
          <w:szCs w:val="24"/>
          <w:highlight w:val="yellow"/>
          <w:lang w:val="pt-BR"/>
        </w:rPr>
      </w:pPr>
    </w:p>
    <w:p>
      <w:pPr>
        <w:pStyle w:val="18"/>
        <w:ind w:left="-142" w:firstLine="425"/>
        <w:rPr>
          <w:rFonts w:hint="default" w:ascii="Times New Roman" w:hAnsi="Times New Roman" w:cs="Times New Roman"/>
          <w:sz w:val="24"/>
          <w:szCs w:val="24"/>
          <w:highlight w:val="yellow"/>
          <w:lang w:val="pt-BR"/>
        </w:rPr>
      </w:pPr>
    </w:p>
    <w:p>
      <w:pPr>
        <w:pStyle w:val="18"/>
        <w:spacing w:before="41" w:line="360" w:lineRule="auto"/>
        <w:ind w:left="-142" w:firstLine="426"/>
        <w:rPr>
          <w:rFonts w:hint="default" w:ascii="Times New Roman" w:hAnsi="Times New Roman" w:cs="Times New Roman"/>
          <w:sz w:val="24"/>
          <w:szCs w:val="24"/>
          <w:highlight w:val="yellow"/>
          <w:lang w:val="pt-BR"/>
        </w:rPr>
      </w:pPr>
    </w:p>
    <w:p>
      <w:pPr>
        <w:spacing w:after="120" w:line="360" w:lineRule="auto"/>
        <w:ind w:right="-427"/>
        <w:contextualSpacing/>
        <w:rPr>
          <w:rFonts w:hint="default" w:ascii="Times New Roman" w:hAnsi="Times New Roman" w:cs="Times New Roman"/>
          <w:b/>
          <w:sz w:val="24"/>
          <w:szCs w:val="24"/>
          <w:highlight w:val="none"/>
        </w:rPr>
      </w:pPr>
      <w:bookmarkStart w:id="1" w:name="_Hlk77843653"/>
      <w:r>
        <w:rPr>
          <w:rFonts w:hint="default" w:ascii="Times New Roman" w:hAnsi="Times New Roman" w:cs="Times New Roman"/>
          <w:b/>
          <w:sz w:val="24"/>
          <w:szCs w:val="24"/>
          <w:highlight w:val="none"/>
        </w:rPr>
        <w:t>7.2 COMPOSIÇÃO BDI:</w:t>
      </w:r>
    </w:p>
    <w:bookmarkEnd w:id="1"/>
    <w:p>
      <w:pPr>
        <w:spacing w:after="120" w:line="360" w:lineRule="auto"/>
        <w:ind w:right="-427"/>
        <w:contextualSpacing/>
        <w:jc w:val="center"/>
        <w:rPr>
          <w:rFonts w:hint="default" w:ascii="Times New Roman" w:hAnsi="Times New Roman" w:cs="Times New Roman"/>
          <w:b/>
          <w:sz w:val="24"/>
          <w:szCs w:val="24"/>
          <w:highlight w:val="yellow"/>
          <w:lang w:val="pt-BR"/>
        </w:rPr>
      </w:pPr>
      <w:r>
        <w:drawing>
          <wp:inline distT="0" distB="0" distL="114300" distR="114300">
            <wp:extent cx="5392420" cy="3782060"/>
            <wp:effectExtent l="0" t="0" r="17780" b="889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pic:cNvPicPr>
                  </pic:nvPicPr>
                  <pic:blipFill>
                    <a:blip r:embed="rId8"/>
                    <a:stretch>
                      <a:fillRect/>
                    </a:stretch>
                  </pic:blipFill>
                  <pic:spPr>
                    <a:xfrm>
                      <a:off x="0" y="0"/>
                      <a:ext cx="5392420" cy="3782060"/>
                    </a:xfrm>
                    <a:prstGeom prst="rect">
                      <a:avLst/>
                    </a:prstGeom>
                    <a:noFill/>
                    <a:ln>
                      <a:noFill/>
                    </a:ln>
                  </pic:spPr>
                </pic:pic>
              </a:graphicData>
            </a:graphic>
          </wp:inline>
        </w:drawing>
      </w:r>
    </w:p>
    <w:p>
      <w:pPr>
        <w:pStyle w:val="18"/>
        <w:spacing w:line="360" w:lineRule="auto"/>
        <w:ind w:left="0" w:firstLine="709"/>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Importante mencionar, que toda documentação mencionada neste tópico encontra-se no anexo I – deste Estudo Técnico Preliminar.</w:t>
      </w:r>
    </w:p>
    <w:p>
      <w:pPr>
        <w:pStyle w:val="18"/>
        <w:spacing w:before="41"/>
        <w:ind w:left="0"/>
        <w:jc w:val="both"/>
        <w:rPr>
          <w:rFonts w:hint="default" w:ascii="Times New Roman" w:hAnsi="Times New Roman" w:cs="Times New Roman"/>
          <w:b/>
          <w:sz w:val="24"/>
          <w:szCs w:val="24"/>
          <w:highlight w:val="yellow"/>
          <w:lang w:val="pt-BR"/>
        </w:rPr>
      </w:pPr>
    </w:p>
    <w:p>
      <w:pPr>
        <w:pStyle w:val="18"/>
        <w:spacing w:before="41"/>
        <w:ind w:left="0"/>
        <w:jc w:val="both"/>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8 – JUSTIFICATIVA DA ESCOLHA DO TIPO E SOLUÇÃO A CONTRATAR</w:t>
      </w:r>
    </w:p>
    <w:p>
      <w:pPr>
        <w:pStyle w:val="18"/>
        <w:spacing w:before="41"/>
        <w:ind w:left="0"/>
        <w:jc w:val="both"/>
        <w:rPr>
          <w:rFonts w:hint="default" w:ascii="Times New Roman" w:hAnsi="Times New Roman" w:cs="Times New Roman"/>
          <w:sz w:val="24"/>
          <w:szCs w:val="24"/>
          <w:highlight w:val="none"/>
          <w:lang w:val="pt-BR"/>
        </w:rPr>
      </w:pPr>
    </w:p>
    <w:p>
      <w:pPr>
        <w:spacing w:line="360" w:lineRule="auto"/>
        <w:ind w:firstLine="708"/>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Em análise ao processo em comento, </w:t>
      </w:r>
      <w:r>
        <w:rPr>
          <w:rFonts w:hint="default" w:ascii="Times New Roman" w:hAnsi="Times New Roman" w:eastAsia="Calibri" w:cs="Times New Roman"/>
          <w:sz w:val="24"/>
          <w:szCs w:val="24"/>
          <w:highlight w:val="none"/>
        </w:rPr>
        <w:t>contratação de empresa especializada para executar a obra de reforma do Centro</w:t>
      </w:r>
      <w:r>
        <w:rPr>
          <w:rFonts w:hint="default" w:ascii="Times New Roman" w:hAnsi="Times New Roman" w:eastAsia="Calibri" w:cs="Times New Roman"/>
          <w:sz w:val="24"/>
          <w:szCs w:val="24"/>
          <w:highlight w:val="none"/>
          <w:lang w:val="pt-BR"/>
        </w:rPr>
        <w:t xml:space="preserve"> de Especialidades</w:t>
      </w:r>
      <w:r>
        <w:rPr>
          <w:rFonts w:hint="default" w:ascii="Times New Roman" w:hAnsi="Times New Roman" w:eastAsia="Calibri" w:cs="Times New Roman"/>
          <w:sz w:val="24"/>
          <w:szCs w:val="24"/>
          <w:highlight w:val="none"/>
        </w:rPr>
        <w:t xml:space="preserve"> Odontológico, no município de Naviraí/MS, incluindo material e mão de obra, </w:t>
      </w:r>
      <w:r>
        <w:rPr>
          <w:rFonts w:hint="default" w:ascii="Times New Roman" w:hAnsi="Times New Roman" w:cs="Times New Roman"/>
          <w:sz w:val="24"/>
          <w:szCs w:val="24"/>
          <w:highlight w:val="none"/>
        </w:rPr>
        <w:t>entendemos que a melhor solução para a referida contratação, seja a modalidade TOMADA DE PREÇOS, conforme preconiza a Lei nº 8.666/93:</w:t>
      </w:r>
    </w:p>
    <w:p>
      <w:pPr>
        <w:spacing w:line="360" w:lineRule="auto"/>
        <w:ind w:left="3402"/>
        <w:jc w:val="both"/>
        <w:rPr>
          <w:rFonts w:hint="default" w:ascii="Times New Roman" w:hAnsi="Times New Roman" w:cs="Times New Roman"/>
          <w:i/>
          <w:color w:val="000000"/>
          <w:highlight w:val="none"/>
          <w:shd w:val="clear" w:color="auto" w:fill="FFFFFF"/>
        </w:rPr>
      </w:pPr>
      <w:r>
        <w:rPr>
          <w:rFonts w:hint="default" w:ascii="Times New Roman" w:hAnsi="Times New Roman" w:cs="Times New Roman"/>
          <w:i/>
          <w:color w:val="000000"/>
          <w:highlight w:val="none"/>
          <w:shd w:val="clear" w:color="auto" w:fill="FFFFFF"/>
        </w:rPr>
        <w:t>Art. 22.  São modalidades de licitação:</w:t>
      </w:r>
    </w:p>
    <w:p>
      <w:pPr>
        <w:spacing w:line="360" w:lineRule="auto"/>
        <w:ind w:left="3402"/>
        <w:jc w:val="both"/>
        <w:rPr>
          <w:rFonts w:hint="default" w:ascii="Times New Roman" w:hAnsi="Times New Roman" w:cs="Times New Roman"/>
          <w:i/>
          <w:color w:val="000000"/>
          <w:highlight w:val="none"/>
          <w:shd w:val="clear" w:color="auto" w:fill="FFFFFF"/>
        </w:rPr>
      </w:pPr>
      <w:r>
        <w:rPr>
          <w:rFonts w:hint="default" w:ascii="Times New Roman" w:hAnsi="Times New Roman" w:cs="Times New Roman"/>
          <w:i/>
          <w:color w:val="000000"/>
          <w:highlight w:val="none"/>
          <w:shd w:val="clear" w:color="auto" w:fill="FFFFFF"/>
        </w:rPr>
        <w:t>II - tomada de preços;</w:t>
      </w:r>
    </w:p>
    <w:p>
      <w:pPr>
        <w:spacing w:line="360" w:lineRule="auto"/>
        <w:ind w:left="3402"/>
        <w:jc w:val="both"/>
        <w:rPr>
          <w:rFonts w:hint="default" w:ascii="Times New Roman" w:hAnsi="Times New Roman" w:cs="Times New Roman"/>
          <w:sz w:val="24"/>
          <w:szCs w:val="24"/>
          <w:highlight w:val="yellow"/>
        </w:rPr>
      </w:pPr>
      <w:r>
        <w:rPr>
          <w:rFonts w:hint="default" w:ascii="Times New Roman" w:hAnsi="Times New Roman" w:cs="Times New Roman"/>
          <w:i/>
          <w:color w:val="000000"/>
          <w:highlight w:val="none"/>
          <w:shd w:val="clear" w:color="auto" w:fill="FFFFFF"/>
        </w:rPr>
        <w:t>§ 2</w:t>
      </w:r>
      <w:r>
        <w:rPr>
          <w:rFonts w:hint="default" w:ascii="Times New Roman" w:hAnsi="Times New Roman" w:cs="Times New Roman"/>
          <w:i/>
          <w:color w:val="000000"/>
          <w:highlight w:val="none"/>
          <w:u w:val="single"/>
          <w:shd w:val="clear" w:color="auto" w:fill="FFFFFF"/>
          <w:vertAlign w:val="superscript"/>
        </w:rPr>
        <w:t>o</w:t>
      </w:r>
      <w:r>
        <w:rPr>
          <w:rFonts w:hint="default" w:ascii="Times New Roman" w:hAnsi="Times New Roman" w:cs="Times New Roman"/>
          <w:i/>
          <w:color w:val="000000"/>
          <w:highlight w:val="none"/>
          <w:shd w:val="clear" w:color="auto" w:fill="FFFFFF"/>
        </w:rPr>
        <w:t> Tomada de preços é a modalidade de licitação entre interessados devidamente cadastrados ou que atenderem a todas as condições exigidas para cadastramento até o terceiro dia anterior à data do recebimento das propostas, observada a necessária qualificação.</w:t>
      </w:r>
    </w:p>
    <w:p>
      <w:pPr>
        <w:spacing w:after="0" w:line="36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A Tomada de Preços é a modalidade de licitação entre interessados devidamente cadastrados ou que atenderem a todas as condições de cadastramento até o terceiro dia anterior à data de recebimento das propostas. </w:t>
      </w:r>
    </w:p>
    <w:p>
      <w:pPr>
        <w:spacing w:after="0" w:line="360" w:lineRule="auto"/>
        <w:ind w:firstLine="709"/>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Nesta modalidade o valor estimado da contratação deverá ser: I) até R$ 3.300.000,00 (Três milhões e trezentos mil Reais, para obras e serviços de engenharia); II) até R$ 1.430.000,00 (Um milhão e quatrocentos e trinta mil Reais, para compras e serviços).</w:t>
      </w:r>
    </w:p>
    <w:p>
      <w:pPr>
        <w:spacing w:line="360" w:lineRule="auto"/>
        <w:ind w:firstLine="708"/>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Nesse sentido, verifica-se, que a contratação em tela se enquadra na referida modalidade licitatória.</w:t>
      </w:r>
    </w:p>
    <w:p>
      <w:pPr>
        <w:spacing w:line="360" w:lineRule="auto"/>
        <w:ind w:firstLine="709"/>
        <w:jc w:val="both"/>
        <w:rPr>
          <w:rFonts w:hint="default" w:ascii="Times New Roman" w:hAnsi="Times New Roman" w:cs="Times New Roman"/>
          <w:color w:val="000000"/>
          <w:sz w:val="24"/>
          <w:szCs w:val="24"/>
          <w:highlight w:val="none"/>
          <w:shd w:val="clear" w:color="auto" w:fill="FFFFFF"/>
        </w:rPr>
      </w:pPr>
      <w:r>
        <w:rPr>
          <w:rFonts w:hint="default" w:ascii="Times New Roman" w:hAnsi="Times New Roman" w:cs="Times New Roman"/>
          <w:color w:val="000000"/>
          <w:sz w:val="24"/>
          <w:szCs w:val="24"/>
          <w:highlight w:val="none"/>
          <w:shd w:val="clear" w:color="auto" w:fill="FFFFFF"/>
        </w:rPr>
        <w:t>Dentre as opções observadas pela área técnica, verificou-se:</w:t>
      </w:r>
    </w:p>
    <w:p>
      <w:pPr>
        <w:spacing w:line="360" w:lineRule="auto"/>
        <w:ind w:firstLine="709"/>
        <w:jc w:val="both"/>
        <w:rPr>
          <w:rFonts w:hint="default" w:ascii="Times New Roman" w:hAnsi="Times New Roman" w:cs="Times New Roman"/>
          <w:color w:val="000000"/>
          <w:sz w:val="24"/>
          <w:highlight w:val="none"/>
          <w:shd w:val="clear" w:color="auto" w:fill="FFFFFF"/>
        </w:rPr>
      </w:pPr>
      <w:r>
        <w:rPr>
          <w:rFonts w:hint="default" w:ascii="Times New Roman" w:hAnsi="Times New Roman" w:cs="Times New Roman"/>
          <w:color w:val="000000"/>
          <w:sz w:val="24"/>
          <w:highlight w:val="none"/>
          <w:shd w:val="clear" w:color="auto" w:fill="FFFFFF"/>
        </w:rPr>
        <w:t>Contratação de empresa especializada com fornecimento de material e mão de obra;</w:t>
      </w:r>
    </w:p>
    <w:p>
      <w:pPr>
        <w:pStyle w:val="20"/>
        <w:numPr>
          <w:ilvl w:val="0"/>
          <w:numId w:val="5"/>
        </w:numPr>
        <w:spacing w:line="360" w:lineRule="auto"/>
        <w:jc w:val="both"/>
        <w:rPr>
          <w:rFonts w:hint="default" w:ascii="Times New Roman" w:hAnsi="Times New Roman" w:cs="Times New Roman"/>
          <w:color w:val="000000"/>
          <w:sz w:val="24"/>
          <w:highlight w:val="none"/>
          <w:shd w:val="clear" w:color="auto" w:fill="FFFFFF"/>
        </w:rPr>
      </w:pPr>
      <w:r>
        <w:rPr>
          <w:rFonts w:hint="default" w:ascii="Times New Roman" w:hAnsi="Times New Roman" w:cs="Times New Roman"/>
          <w:color w:val="000000"/>
          <w:sz w:val="24"/>
          <w:highlight w:val="none"/>
          <w:shd w:val="clear" w:color="auto" w:fill="FFFFFF"/>
        </w:rPr>
        <w:t>A própria equipe da prefeitura executar o serviços, fazendo a aquisição do material.</w:t>
      </w:r>
    </w:p>
    <w:p>
      <w:pPr>
        <w:spacing w:line="360" w:lineRule="auto"/>
        <w:ind w:firstLine="709"/>
        <w:jc w:val="both"/>
        <w:rPr>
          <w:rFonts w:hint="default" w:ascii="Times New Roman" w:hAnsi="Times New Roman" w:cs="Times New Roman"/>
          <w:color w:val="000000"/>
          <w:sz w:val="24"/>
          <w:highlight w:val="none"/>
          <w:shd w:val="clear" w:color="auto" w:fill="FFFFFF"/>
        </w:rPr>
      </w:pPr>
      <w:r>
        <w:rPr>
          <w:rFonts w:hint="default" w:ascii="Times New Roman" w:hAnsi="Times New Roman" w:cs="Times New Roman"/>
          <w:color w:val="000000"/>
          <w:sz w:val="24"/>
          <w:highlight w:val="none"/>
          <w:shd w:val="clear" w:color="auto" w:fill="FFFFFF"/>
        </w:rPr>
        <w:t>Em análise, optou-se pela primeira opção, uma vez, que se mostra mais vantajosa e econômica para a gestão, em detrimento a segunda, pois, seria necessário realizar procedimento administrativo para aquisição dos itens, e a equipe da prefeitura possui outras demandas.</w:t>
      </w:r>
    </w:p>
    <w:p>
      <w:pPr>
        <w:pStyle w:val="18"/>
        <w:spacing w:before="41" w:line="360" w:lineRule="auto"/>
        <w:ind w:left="0"/>
        <w:jc w:val="both"/>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09 – DESCRIÇÃO DETALHADA DO PRODUTO OU SERVIÇO.</w:t>
      </w:r>
    </w:p>
    <w:p>
      <w:pPr>
        <w:pStyle w:val="18"/>
        <w:spacing w:before="41" w:line="360" w:lineRule="auto"/>
        <w:ind w:left="108" w:firstLine="601"/>
        <w:jc w:val="center"/>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A prestação dos serviços deverá seguir o cronograma de execução abaixo:</w:t>
      </w:r>
    </w:p>
    <w:p>
      <w:pPr>
        <w:pStyle w:val="18"/>
        <w:spacing w:before="41" w:line="360" w:lineRule="auto"/>
        <w:ind w:left="0" w:leftChars="0" w:firstLine="0" w:firstLineChars="0"/>
        <w:jc w:val="center"/>
        <w:rPr>
          <w:rFonts w:hint="default"/>
          <w:lang w:val="pt-BR"/>
        </w:rPr>
      </w:pPr>
      <w:r>
        <w:drawing>
          <wp:inline distT="0" distB="0" distL="114300" distR="114300">
            <wp:extent cx="5369560" cy="5328285"/>
            <wp:effectExtent l="0" t="0" r="2540" b="5715"/>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pic:cNvPicPr>
                  </pic:nvPicPr>
                  <pic:blipFill>
                    <a:blip r:embed="rId9"/>
                    <a:stretch>
                      <a:fillRect/>
                    </a:stretch>
                  </pic:blipFill>
                  <pic:spPr>
                    <a:xfrm>
                      <a:off x="0" y="0"/>
                      <a:ext cx="5369560" cy="5328285"/>
                    </a:xfrm>
                    <a:prstGeom prst="rect">
                      <a:avLst/>
                    </a:prstGeom>
                    <a:noFill/>
                    <a:ln>
                      <a:noFill/>
                    </a:ln>
                  </pic:spPr>
                </pic:pic>
              </a:graphicData>
            </a:graphic>
          </wp:inline>
        </w:drawing>
      </w:r>
      <w:r>
        <w:drawing>
          <wp:inline distT="0" distB="0" distL="114300" distR="114300">
            <wp:extent cx="5393055" cy="1518920"/>
            <wp:effectExtent l="0" t="0" r="17145" b="508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
                    <pic:cNvPicPr>
                      <a:picLocks noChangeAspect="1"/>
                    </pic:cNvPicPr>
                  </pic:nvPicPr>
                  <pic:blipFill>
                    <a:blip r:embed="rId10"/>
                    <a:srcRect t="25297"/>
                    <a:stretch>
                      <a:fillRect/>
                    </a:stretch>
                  </pic:blipFill>
                  <pic:spPr>
                    <a:xfrm>
                      <a:off x="0" y="0"/>
                      <a:ext cx="5393055" cy="1518920"/>
                    </a:xfrm>
                    <a:prstGeom prst="rect">
                      <a:avLst/>
                    </a:prstGeom>
                    <a:noFill/>
                    <a:ln>
                      <a:noFill/>
                    </a:ln>
                  </pic:spPr>
                </pic:pic>
              </a:graphicData>
            </a:graphic>
          </wp:inline>
        </w:drawing>
      </w:r>
    </w:p>
    <w:p>
      <w:pPr>
        <w:pStyle w:val="18"/>
        <w:spacing w:before="41" w:line="360" w:lineRule="auto"/>
        <w:ind w:left="108" w:firstLine="601"/>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Bem como deverá seguir, o memorial descrito e projetos.</w:t>
      </w:r>
    </w:p>
    <w:p>
      <w:pPr>
        <w:pStyle w:val="21"/>
        <w:spacing w:line="360" w:lineRule="auto"/>
        <w:ind w:firstLine="708"/>
        <w:jc w:val="both"/>
        <w:rPr>
          <w:rFonts w:hint="default" w:ascii="Times New Roman" w:hAnsi="Times New Roman" w:cs="Times New Roman"/>
          <w:highlight w:val="none"/>
        </w:rPr>
      </w:pPr>
      <w:r>
        <w:rPr>
          <w:rFonts w:hint="default" w:ascii="Times New Roman" w:hAnsi="Times New Roman" w:cs="Times New Roman"/>
          <w:highlight w:val="none"/>
        </w:rPr>
        <w:t>Todo o material empregado na obra deverá receber aprovação da fiscalização antes de ser utilizado. No caso de o construtor substituir materiais ou serviços que constam nesta especificação, deverá apresentar memorial descritivo, memorial justificativo para sua utilização e a composição orçamentária completa, que permita comparação com materiais e/ ou serviços semelhantes.</w:t>
      </w:r>
    </w:p>
    <w:p>
      <w:pPr>
        <w:pStyle w:val="21"/>
        <w:spacing w:line="360" w:lineRule="auto"/>
        <w:ind w:firstLine="708"/>
        <w:jc w:val="both"/>
        <w:rPr>
          <w:rFonts w:hint="default" w:ascii="Times New Roman" w:hAnsi="Times New Roman" w:cs="Times New Roman"/>
          <w:highlight w:val="none"/>
        </w:rPr>
      </w:pPr>
      <w:r>
        <w:rPr>
          <w:rFonts w:hint="default" w:ascii="Times New Roman" w:hAnsi="Times New Roman" w:cs="Times New Roman"/>
          <w:highlight w:val="none"/>
        </w:rPr>
        <w:t>Os serviços e materiais serão executados em conformidade com as Normas Brasileiras (ABNT).</w:t>
      </w:r>
    </w:p>
    <w:p>
      <w:pPr>
        <w:pStyle w:val="18"/>
        <w:spacing w:before="41"/>
        <w:ind w:left="105" w:firstLine="604"/>
        <w:jc w:val="both"/>
        <w:rPr>
          <w:rFonts w:hint="default" w:ascii="Times New Roman" w:hAnsi="Times New Roman" w:cs="Times New Roman"/>
          <w:b/>
          <w:sz w:val="24"/>
          <w:szCs w:val="24"/>
          <w:highlight w:val="yellow"/>
          <w:lang w:val="pt-BR"/>
        </w:rPr>
      </w:pPr>
    </w:p>
    <w:p>
      <w:pPr>
        <w:pStyle w:val="18"/>
        <w:spacing w:before="41" w:line="480" w:lineRule="auto"/>
        <w:ind w:left="105"/>
        <w:jc w:val="both"/>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10 – BENEFÍCIOS DIRETOS E INDIRETOS DA CONTRATAÇÃO.</w:t>
      </w:r>
    </w:p>
    <w:p>
      <w:pPr>
        <w:pStyle w:val="18"/>
        <w:numPr>
          <w:ilvl w:val="0"/>
          <w:numId w:val="6"/>
        </w:numPr>
        <w:spacing w:before="8" w:line="360" w:lineRule="auto"/>
        <w:ind w:left="709"/>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Otimização do espaço físico;</w:t>
      </w:r>
    </w:p>
    <w:p>
      <w:pPr>
        <w:pStyle w:val="18"/>
        <w:numPr>
          <w:ilvl w:val="0"/>
          <w:numId w:val="6"/>
        </w:numPr>
        <w:spacing w:before="8" w:line="360" w:lineRule="auto"/>
        <w:ind w:left="709"/>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Melhorar qualidade dos atendimentos ao munícipes;</w:t>
      </w:r>
    </w:p>
    <w:p>
      <w:pPr>
        <w:pStyle w:val="18"/>
        <w:numPr>
          <w:ilvl w:val="0"/>
          <w:numId w:val="6"/>
        </w:numPr>
        <w:spacing w:before="8" w:line="360" w:lineRule="auto"/>
        <w:ind w:left="709"/>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Adequação do espaço;</w:t>
      </w:r>
    </w:p>
    <w:p>
      <w:pPr>
        <w:pStyle w:val="18"/>
        <w:numPr>
          <w:ilvl w:val="0"/>
          <w:numId w:val="6"/>
        </w:numPr>
        <w:spacing w:before="8" w:line="360" w:lineRule="auto"/>
        <w:ind w:left="709"/>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Conforto e segurança;</w:t>
      </w:r>
    </w:p>
    <w:p>
      <w:pPr>
        <w:pStyle w:val="18"/>
        <w:numPr>
          <w:ilvl w:val="0"/>
          <w:numId w:val="6"/>
        </w:numPr>
        <w:spacing w:before="8" w:line="360" w:lineRule="auto"/>
        <w:ind w:left="709"/>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Prevenção a saúde bucal;</w:t>
      </w:r>
    </w:p>
    <w:p>
      <w:pPr>
        <w:pStyle w:val="18"/>
        <w:spacing w:before="41"/>
        <w:ind w:left="0"/>
        <w:jc w:val="both"/>
        <w:rPr>
          <w:rFonts w:hint="default" w:ascii="Times New Roman" w:hAnsi="Times New Roman" w:cs="Times New Roman"/>
          <w:b/>
          <w:sz w:val="20"/>
          <w:highlight w:val="yellow"/>
          <w:lang w:val="pt-BR"/>
        </w:rPr>
      </w:pPr>
    </w:p>
    <w:p>
      <w:pPr>
        <w:pStyle w:val="18"/>
        <w:spacing w:before="41" w:line="480" w:lineRule="auto"/>
        <w:ind w:left="105"/>
        <w:jc w:val="both"/>
        <w:rPr>
          <w:rFonts w:hint="default" w:ascii="Times New Roman" w:hAnsi="Times New Roman" w:cs="Times New Roman"/>
          <w:b/>
          <w:sz w:val="24"/>
          <w:szCs w:val="24"/>
          <w:highlight w:val="none"/>
          <w:lang w:val="pt-BR"/>
        </w:rPr>
      </w:pPr>
      <w:r>
        <w:rPr>
          <w:rFonts w:hint="default" w:ascii="Times New Roman" w:hAnsi="Times New Roman" w:cs="Times New Roman"/>
          <w:b/>
          <w:sz w:val="24"/>
          <w:szCs w:val="24"/>
          <w:highlight w:val="none"/>
          <w:lang w:val="pt-BR"/>
        </w:rPr>
        <w:t>11 – PROVIDÊNCIAS PARA A ADEQUAÇÃO DO AMBIENTE DO ÓRGÃO</w:t>
      </w:r>
    </w:p>
    <w:p>
      <w:pPr>
        <w:pStyle w:val="18"/>
        <w:spacing w:before="41" w:line="360" w:lineRule="auto"/>
        <w:ind w:left="105" w:firstLine="603"/>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Não se aplica.</w:t>
      </w:r>
    </w:p>
    <w:p>
      <w:pPr>
        <w:pStyle w:val="18"/>
        <w:spacing w:before="41" w:line="360" w:lineRule="auto"/>
        <w:ind w:left="105" w:firstLine="603"/>
        <w:jc w:val="both"/>
        <w:rPr>
          <w:rFonts w:hint="default" w:ascii="Times New Roman" w:hAnsi="Times New Roman" w:cs="Times New Roman"/>
          <w:sz w:val="24"/>
          <w:szCs w:val="24"/>
          <w:highlight w:val="yellow"/>
          <w:lang w:val="pt-BR"/>
        </w:rPr>
      </w:pPr>
    </w:p>
    <w:p>
      <w:pPr>
        <w:pStyle w:val="18"/>
        <w:spacing w:before="41" w:line="480" w:lineRule="auto"/>
        <w:ind w:left="105"/>
        <w:jc w:val="both"/>
        <w:rPr>
          <w:rFonts w:hint="default" w:ascii="Times New Roman" w:hAnsi="Times New Roman" w:cs="Times New Roman"/>
          <w:sz w:val="24"/>
          <w:szCs w:val="24"/>
          <w:highlight w:val="none"/>
          <w:lang w:val="pt-BR"/>
        </w:rPr>
      </w:pPr>
      <w:r>
        <w:rPr>
          <w:rFonts w:hint="default" w:ascii="Times New Roman" w:hAnsi="Times New Roman" w:cs="Times New Roman"/>
          <w:b/>
          <w:sz w:val="24"/>
          <w:szCs w:val="24"/>
          <w:highlight w:val="none"/>
          <w:lang w:val="pt-BR"/>
        </w:rPr>
        <w:t>12 – VIABILIDADE DA CONTRATAÇÃO</w:t>
      </w:r>
      <w:r>
        <w:rPr>
          <w:rFonts w:hint="default" w:ascii="Times New Roman" w:hAnsi="Times New Roman" w:cs="Times New Roman"/>
          <w:sz w:val="24"/>
          <w:szCs w:val="24"/>
          <w:highlight w:val="none"/>
          <w:lang w:val="pt-BR"/>
        </w:rPr>
        <w:t xml:space="preserve"> </w:t>
      </w:r>
    </w:p>
    <w:p>
      <w:pPr>
        <w:spacing w:line="360" w:lineRule="auto"/>
        <w:ind w:firstLine="708"/>
        <w:jc w:val="both"/>
        <w:rPr>
          <w:rFonts w:hint="default" w:ascii="Times New Roman" w:hAnsi="Times New Roman" w:eastAsia="Calibri" w:cs="Times New Roman"/>
          <w:b/>
          <w:sz w:val="24"/>
          <w:szCs w:val="24"/>
          <w:highlight w:val="none"/>
          <w:u w:val="single"/>
        </w:rPr>
      </w:pPr>
      <w:r>
        <w:rPr>
          <w:rFonts w:hint="default" w:ascii="Times New Roman" w:hAnsi="Times New Roman" w:cs="Times New Roman"/>
          <w:sz w:val="24"/>
          <w:szCs w:val="24"/>
          <w:highlight w:val="none"/>
        </w:rPr>
        <w:t xml:space="preserve">Devido à necessidade evidente demonstrada pelo objeto pretendido neste estudo e, após analisar as informações apresentadas pelo setor demandante, consideramos </w:t>
      </w:r>
      <w:r>
        <w:rPr>
          <w:rFonts w:hint="default" w:ascii="Times New Roman" w:hAnsi="Times New Roman" w:cs="Times New Roman"/>
          <w:b/>
          <w:sz w:val="24"/>
          <w:szCs w:val="24"/>
          <w:highlight w:val="none"/>
          <w:u w:val="single"/>
        </w:rPr>
        <w:t xml:space="preserve">viável </w:t>
      </w:r>
      <w:r>
        <w:rPr>
          <w:rFonts w:hint="default" w:ascii="Times New Roman" w:hAnsi="Times New Roman" w:cs="Times New Roman"/>
          <w:sz w:val="24"/>
          <w:szCs w:val="24"/>
          <w:highlight w:val="none"/>
        </w:rPr>
        <w:t xml:space="preserve">a </w:t>
      </w:r>
      <w:r>
        <w:rPr>
          <w:rFonts w:hint="default" w:ascii="Times New Roman" w:hAnsi="Times New Roman" w:cs="Times New Roman"/>
          <w:i/>
          <w:sz w:val="24"/>
          <w:szCs w:val="24"/>
          <w:highlight w:val="none"/>
        </w:rPr>
        <w:t>c</w:t>
      </w:r>
      <w:r>
        <w:rPr>
          <w:rFonts w:hint="default" w:ascii="Times New Roman" w:hAnsi="Times New Roman" w:eastAsia="Calibri" w:cs="Times New Roman"/>
          <w:i/>
          <w:sz w:val="24"/>
          <w:szCs w:val="24"/>
          <w:highlight w:val="none"/>
        </w:rPr>
        <w:t>ontratação de empresa especializada para executar a obra de reforma do Centro Odontológico, no município de Naviraí/MS, incluindo material e mão de obra</w:t>
      </w:r>
      <w:r>
        <w:rPr>
          <w:rFonts w:hint="default" w:ascii="Times New Roman" w:hAnsi="Times New Roman" w:cs="Times New Roman"/>
          <w:sz w:val="24"/>
          <w:szCs w:val="24"/>
          <w:highlight w:val="none"/>
        </w:rPr>
        <w:t xml:space="preserve">, </w:t>
      </w:r>
      <w:r>
        <w:rPr>
          <w:rFonts w:hint="default" w:ascii="Times New Roman" w:hAnsi="Times New Roman" w:cs="Times New Roman"/>
          <w:b/>
          <w:sz w:val="24"/>
          <w:szCs w:val="24"/>
          <w:highlight w:val="none"/>
          <w:u w:val="single"/>
        </w:rPr>
        <w:t>seguindo as orientações técnicas contidas neste estudo.</w:t>
      </w:r>
    </w:p>
    <w:p>
      <w:pPr>
        <w:pStyle w:val="18"/>
        <w:spacing w:before="41"/>
        <w:ind w:left="105"/>
        <w:jc w:val="both"/>
        <w:rPr>
          <w:rFonts w:hint="default" w:ascii="Times New Roman" w:hAnsi="Times New Roman" w:cs="Times New Roman"/>
          <w:sz w:val="20"/>
          <w:highlight w:val="yellow"/>
          <w:lang w:val="pt-BR"/>
        </w:rPr>
      </w:pPr>
    </w:p>
    <w:p>
      <w:pPr>
        <w:pStyle w:val="18"/>
        <w:spacing w:before="41" w:line="360" w:lineRule="auto"/>
        <w:ind w:left="105"/>
        <w:jc w:val="both"/>
        <w:rPr>
          <w:rFonts w:hint="default" w:ascii="Times New Roman" w:hAnsi="Times New Roman" w:cs="Times New Roman"/>
          <w:sz w:val="24"/>
          <w:szCs w:val="24"/>
          <w:highlight w:val="none"/>
          <w:lang w:val="pt-BR"/>
        </w:rPr>
      </w:pPr>
      <w:r>
        <w:rPr>
          <w:rFonts w:hint="default" w:ascii="Times New Roman" w:hAnsi="Times New Roman" w:cs="Times New Roman"/>
          <w:b/>
          <w:sz w:val="24"/>
          <w:szCs w:val="24"/>
          <w:highlight w:val="none"/>
          <w:lang w:val="pt-BR"/>
        </w:rPr>
        <w:t>13 – FISCALIZAÇÃO DO CONTRATO</w:t>
      </w:r>
      <w:r>
        <w:rPr>
          <w:rFonts w:hint="default" w:ascii="Times New Roman" w:hAnsi="Times New Roman" w:cs="Times New Roman"/>
          <w:sz w:val="24"/>
          <w:szCs w:val="24"/>
          <w:highlight w:val="none"/>
          <w:lang w:val="pt-BR"/>
        </w:rPr>
        <w:t xml:space="preserve"> </w:t>
      </w:r>
    </w:p>
    <w:p>
      <w:pPr>
        <w:pStyle w:val="18"/>
        <w:spacing w:before="41" w:line="360" w:lineRule="auto"/>
        <w:ind w:left="105" w:firstLine="604"/>
        <w:jc w:val="both"/>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Como representantes da Administração, especialmente designadas nas formas do art. 67 e 73, da Lei nº 8.666, de 1933, e do art. 6º, para exercer o acompanhamento e fiscalização da execução contratual, devendo informar à Administração sobre eventuais vícios, irregularidades ou baixa qualidade dos produtos fornecidos pela contratada, propor soluções para regularização de faltas e problemas observados e sanções que entender cabíveis.</w:t>
      </w:r>
    </w:p>
    <w:p>
      <w:pPr>
        <w:spacing w:line="360" w:lineRule="auto"/>
        <w:ind w:firstLine="1418"/>
        <w:jc w:val="both"/>
        <w:rPr>
          <w:rFonts w:hint="default"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rPr>
        <w:t>Serão designadas como Fiscais de contrato para a licitação pretendida, os servidores:</w:t>
      </w:r>
    </w:p>
    <w:tbl>
      <w:tblPr>
        <w:tblStyle w:val="3"/>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2"/>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2" w:type="dxa"/>
            <w:shd w:val="clear" w:color="auto" w:fill="auto"/>
          </w:tcPr>
          <w:p>
            <w:pPr>
              <w:shd w:val="clear" w:color="auto" w:fill="FFFFFF"/>
              <w:jc w:val="center"/>
              <w:textAlignment w:val="baseline"/>
              <w:rPr>
                <w:rFonts w:hint="default" w:ascii="Times New Roman" w:hAnsi="Times New Roman" w:cs="Times New Roman"/>
                <w:szCs w:val="24"/>
                <w:highlight w:val="none"/>
              </w:rPr>
            </w:pPr>
            <w:r>
              <w:rPr>
                <w:rFonts w:hint="default" w:ascii="Times New Roman" w:hAnsi="Times New Roman" w:cs="Times New Roman"/>
                <w:b/>
                <w:bCs/>
                <w:szCs w:val="24"/>
                <w:highlight w:val="none"/>
              </w:rPr>
              <w:t>NOME</w:t>
            </w:r>
          </w:p>
        </w:tc>
        <w:tc>
          <w:tcPr>
            <w:tcW w:w="1723" w:type="dxa"/>
            <w:shd w:val="clear" w:color="auto" w:fill="auto"/>
          </w:tcPr>
          <w:p>
            <w:pPr>
              <w:shd w:val="clear" w:color="auto" w:fill="FFFFFF"/>
              <w:jc w:val="center"/>
              <w:textAlignment w:val="baseline"/>
              <w:rPr>
                <w:rFonts w:hint="default" w:ascii="Times New Roman" w:hAnsi="Times New Roman" w:cs="Times New Roman"/>
                <w:b/>
                <w:bCs/>
                <w:szCs w:val="24"/>
                <w:highlight w:val="none"/>
              </w:rPr>
            </w:pPr>
            <w:r>
              <w:rPr>
                <w:rFonts w:hint="default" w:ascii="Times New Roman" w:hAnsi="Times New Roman" w:cs="Times New Roman"/>
                <w:b/>
                <w:bCs/>
                <w:szCs w:val="24"/>
                <w:highlight w:val="none"/>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782" w:type="dxa"/>
            <w:shd w:val="clear" w:color="auto" w:fill="auto"/>
            <w:vAlign w:val="center"/>
          </w:tcPr>
          <w:p>
            <w:pPr>
              <w:pStyle w:val="20"/>
              <w:ind w:left="0"/>
              <w:jc w:val="center"/>
              <w:rPr>
                <w:rFonts w:hint="default" w:ascii="Times New Roman" w:hAnsi="Times New Roman" w:cs="Times New Roman"/>
                <w:b/>
                <w:sz w:val="24"/>
                <w:highlight w:val="none"/>
              </w:rPr>
            </w:pPr>
            <w:r>
              <w:rPr>
                <w:rFonts w:hint="default" w:ascii="Times New Roman" w:hAnsi="Times New Roman" w:cs="Times New Roman"/>
                <w:b/>
                <w:sz w:val="24"/>
                <w:highlight w:val="none"/>
              </w:rPr>
              <w:t>H</w:t>
            </w:r>
            <w:r>
              <w:rPr>
                <w:rFonts w:hint="default" w:ascii="Times New Roman" w:hAnsi="Times New Roman" w:cs="Times New Roman"/>
                <w:b/>
                <w:sz w:val="24"/>
                <w:highlight w:val="none"/>
                <w:lang w:val="pt-BR"/>
              </w:rPr>
              <w:t>E</w:t>
            </w:r>
            <w:r>
              <w:rPr>
                <w:rFonts w:hint="default" w:ascii="Times New Roman" w:hAnsi="Times New Roman" w:cs="Times New Roman"/>
                <w:b/>
                <w:sz w:val="24"/>
                <w:highlight w:val="none"/>
              </w:rPr>
              <w:t>LDER MATSUBARA – Fiscal Titular</w:t>
            </w:r>
          </w:p>
          <w:p>
            <w:pPr>
              <w:jc w:val="center"/>
              <w:rPr>
                <w:rFonts w:hint="default" w:ascii="Times New Roman" w:hAnsi="Times New Roman" w:cs="Times New Roman"/>
                <w:szCs w:val="24"/>
                <w:highlight w:val="yellow"/>
              </w:rPr>
            </w:pPr>
          </w:p>
        </w:tc>
        <w:tc>
          <w:tcPr>
            <w:tcW w:w="1723" w:type="dxa"/>
            <w:shd w:val="clear" w:color="auto" w:fill="auto"/>
            <w:vAlign w:val="center"/>
          </w:tcPr>
          <w:p>
            <w:pPr>
              <w:jc w:val="center"/>
              <w:rPr>
                <w:rFonts w:hint="default" w:ascii="Times New Roman" w:hAnsi="Times New Roman" w:cs="Times New Roman"/>
                <w:b/>
                <w:szCs w:val="24"/>
                <w:highlight w:val="yellow"/>
              </w:rPr>
            </w:pPr>
            <w:r>
              <w:rPr>
                <w:rFonts w:hint="default" w:ascii="Times New Roman" w:hAnsi="Times New Roman" w:cs="Times New Roman"/>
                <w:b/>
                <w:szCs w:val="24"/>
                <w:highlight w:val="none"/>
              </w:rPr>
              <w:t>7596-5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782" w:type="dxa"/>
            <w:shd w:val="clear" w:color="auto" w:fill="auto"/>
            <w:vAlign w:val="center"/>
          </w:tcPr>
          <w:p>
            <w:pPr>
              <w:pStyle w:val="20"/>
              <w:ind w:left="0"/>
              <w:jc w:val="center"/>
              <w:rPr>
                <w:rFonts w:hint="default" w:ascii="Times New Roman" w:hAnsi="Times New Roman" w:cs="Times New Roman"/>
                <w:b/>
                <w:sz w:val="24"/>
                <w:highlight w:val="none"/>
              </w:rPr>
            </w:pPr>
            <w:r>
              <w:rPr>
                <w:rFonts w:hint="default" w:ascii="Times New Roman" w:hAnsi="Times New Roman" w:cs="Times New Roman"/>
                <w:b/>
                <w:sz w:val="24"/>
                <w:highlight w:val="none"/>
                <w:lang w:val="pt-BR"/>
              </w:rPr>
              <w:t>GESSÉ DA SILVA ANDRADE</w:t>
            </w:r>
            <w:r>
              <w:rPr>
                <w:rFonts w:hint="default" w:ascii="Times New Roman" w:hAnsi="Times New Roman" w:cs="Times New Roman"/>
                <w:b/>
                <w:sz w:val="24"/>
                <w:highlight w:val="none"/>
              </w:rPr>
              <w:t xml:space="preserve"> – Fiscal Suplente</w:t>
            </w:r>
          </w:p>
          <w:p>
            <w:pPr>
              <w:jc w:val="center"/>
              <w:rPr>
                <w:rFonts w:hint="default" w:ascii="Times New Roman" w:hAnsi="Times New Roman" w:cs="Times New Roman"/>
                <w:szCs w:val="24"/>
                <w:highlight w:val="yellow"/>
              </w:rPr>
            </w:pPr>
          </w:p>
        </w:tc>
        <w:tc>
          <w:tcPr>
            <w:tcW w:w="1723" w:type="dxa"/>
            <w:shd w:val="clear" w:color="auto" w:fill="auto"/>
            <w:vAlign w:val="center"/>
          </w:tcPr>
          <w:p>
            <w:pPr>
              <w:jc w:val="center"/>
              <w:rPr>
                <w:rFonts w:hint="default" w:ascii="Times New Roman" w:hAnsi="Times New Roman" w:cs="Times New Roman"/>
                <w:b/>
                <w:szCs w:val="24"/>
                <w:highlight w:val="yellow"/>
              </w:rPr>
            </w:pPr>
            <w:r>
              <w:rPr>
                <w:rFonts w:hint="default" w:ascii="Times New Roman" w:hAnsi="Times New Roman" w:cs="Times New Roman"/>
                <w:b/>
                <w:szCs w:val="24"/>
                <w:highlight w:val="none"/>
                <w:lang w:val="pt-BR"/>
              </w:rPr>
              <w:t>2829-0</w:t>
            </w:r>
          </w:p>
        </w:tc>
      </w:tr>
    </w:tbl>
    <w:p>
      <w:pPr>
        <w:pStyle w:val="18"/>
        <w:spacing w:before="41" w:line="360" w:lineRule="auto"/>
        <w:ind w:left="0" w:leftChars="0" w:firstLine="0" w:firstLineChars="0"/>
        <w:jc w:val="both"/>
        <w:rPr>
          <w:rFonts w:hint="default" w:ascii="Times New Roman" w:hAnsi="Times New Roman" w:cs="Times New Roman"/>
          <w:sz w:val="24"/>
          <w:szCs w:val="24"/>
          <w:highlight w:val="yellow"/>
          <w:lang w:val="pt-BR"/>
        </w:rPr>
      </w:pPr>
    </w:p>
    <w:p>
      <w:pPr>
        <w:rPr>
          <w:rFonts w:hint="default" w:ascii="Times New Roman" w:hAnsi="Times New Roman" w:cs="Times New Roman"/>
          <w:highlight w:val="yellow"/>
        </w:rPr>
      </w:pPr>
    </w:p>
    <w:p>
      <w:pPr>
        <w:pStyle w:val="18"/>
        <w:tabs>
          <w:tab w:val="left" w:pos="4253"/>
        </w:tabs>
        <w:spacing w:before="41"/>
        <w:ind w:left="105"/>
        <w:jc w:val="right"/>
        <w:rPr>
          <w:rFonts w:hint="default" w:ascii="Times New Roman" w:hAnsi="Times New Roman" w:cs="Times New Roman"/>
          <w:sz w:val="24"/>
          <w:szCs w:val="24"/>
          <w:highlight w:val="none"/>
          <w:lang w:val="pt-BR"/>
        </w:rPr>
      </w:pPr>
      <w:r>
        <w:rPr>
          <w:rFonts w:hint="default" w:ascii="Times New Roman" w:hAnsi="Times New Roman" w:cs="Times New Roman"/>
          <w:sz w:val="24"/>
          <w:szCs w:val="24"/>
          <w:highlight w:val="none"/>
          <w:lang w:val="pt-BR"/>
        </w:rPr>
        <w:t xml:space="preserve">Naviraí - MS, </w:t>
      </w:r>
      <w:r>
        <w:rPr>
          <w:rFonts w:hint="default" w:cs="Times New Roman"/>
          <w:sz w:val="24"/>
          <w:szCs w:val="24"/>
          <w:highlight w:val="none"/>
          <w:lang w:val="pt-BR"/>
        </w:rPr>
        <w:t>02</w:t>
      </w:r>
      <w:r>
        <w:rPr>
          <w:rFonts w:hint="default" w:ascii="Times New Roman" w:hAnsi="Times New Roman" w:cs="Times New Roman"/>
          <w:sz w:val="24"/>
          <w:szCs w:val="24"/>
          <w:highlight w:val="none"/>
          <w:lang w:val="pt-BR"/>
        </w:rPr>
        <w:t xml:space="preserve"> de </w:t>
      </w:r>
      <w:r>
        <w:rPr>
          <w:rFonts w:hint="default" w:cs="Times New Roman"/>
          <w:sz w:val="24"/>
          <w:szCs w:val="24"/>
          <w:highlight w:val="none"/>
          <w:lang w:val="pt-BR"/>
        </w:rPr>
        <w:t>maio</w:t>
      </w:r>
      <w:r>
        <w:rPr>
          <w:rFonts w:hint="default" w:ascii="Times New Roman" w:hAnsi="Times New Roman" w:cs="Times New Roman"/>
          <w:sz w:val="24"/>
          <w:szCs w:val="24"/>
          <w:highlight w:val="none"/>
          <w:lang w:val="pt-BR"/>
        </w:rPr>
        <w:t xml:space="preserve"> de 202</w:t>
      </w:r>
      <w:r>
        <w:rPr>
          <w:rFonts w:hint="default" w:cs="Times New Roman"/>
          <w:sz w:val="24"/>
          <w:szCs w:val="24"/>
          <w:highlight w:val="none"/>
          <w:lang w:val="pt-BR"/>
        </w:rPr>
        <w:t>3</w:t>
      </w:r>
      <w:r>
        <w:rPr>
          <w:rFonts w:hint="default" w:ascii="Times New Roman" w:hAnsi="Times New Roman" w:cs="Times New Roman"/>
          <w:sz w:val="24"/>
          <w:szCs w:val="24"/>
          <w:highlight w:val="none"/>
          <w:lang w:val="pt-BR"/>
        </w:rPr>
        <w:t>.</w:t>
      </w:r>
    </w:p>
    <w:p>
      <w:pPr>
        <w:pStyle w:val="18"/>
        <w:spacing w:before="41"/>
        <w:ind w:left="0"/>
        <w:jc w:val="both"/>
        <w:rPr>
          <w:rFonts w:hint="default" w:ascii="Times New Roman" w:hAnsi="Times New Roman" w:cs="Times New Roman"/>
          <w:szCs w:val="24"/>
          <w:highlight w:val="yellow"/>
          <w:lang w:val="pt-BR"/>
        </w:rPr>
      </w:pPr>
    </w:p>
    <w:p>
      <w:pPr>
        <w:pStyle w:val="8"/>
        <w:rPr>
          <w:rFonts w:hint="default" w:ascii="Times New Roman" w:hAnsi="Times New Roman" w:cs="Times New Roman"/>
          <w:b/>
          <w:szCs w:val="24"/>
          <w:highlight w:val="yellow"/>
        </w:rPr>
      </w:pPr>
    </w:p>
    <w:p>
      <w:pPr>
        <w:pStyle w:val="8"/>
        <w:rPr>
          <w:rFonts w:hint="default" w:ascii="Times New Roman" w:hAnsi="Times New Roman" w:cs="Times New Roman"/>
          <w:b/>
          <w:szCs w:val="24"/>
          <w:highlight w:val="yellow"/>
        </w:rPr>
      </w:pPr>
    </w:p>
    <w:p>
      <w:pPr>
        <w:pStyle w:val="8"/>
        <w:rPr>
          <w:rFonts w:hint="default" w:ascii="Times New Roman" w:hAnsi="Times New Roman" w:cs="Times New Roman"/>
          <w:b/>
          <w:szCs w:val="24"/>
          <w:highlight w:val="yellow"/>
        </w:rPr>
      </w:pPr>
    </w:p>
    <w:p>
      <w:pPr>
        <w:pStyle w:val="8"/>
        <w:rPr>
          <w:rFonts w:hint="default" w:ascii="Times New Roman" w:hAnsi="Times New Roman" w:cs="Times New Roman"/>
          <w:b/>
          <w:szCs w:val="24"/>
          <w:highlight w:val="yellow"/>
        </w:rPr>
      </w:pPr>
    </w:p>
    <w:p>
      <w:pPr>
        <w:shd w:val="clear" w:color="auto" w:fill="FFFFFF"/>
        <w:spacing w:after="0"/>
        <w:jc w:val="center"/>
        <w:textAlignment w:val="baseline"/>
        <w:rPr>
          <w:rFonts w:hint="default" w:ascii="Times New Roman" w:hAnsi="Times New Roman" w:cs="Times New Roman"/>
          <w:szCs w:val="24"/>
          <w:highlight w:val="none"/>
        </w:rPr>
        <w:sectPr>
          <w:headerReference r:id="rId5" w:type="default"/>
          <w:footerReference r:id="rId6" w:type="default"/>
          <w:pgSz w:w="11906" w:h="16838"/>
          <w:pgMar w:top="1417" w:right="1701" w:bottom="1417" w:left="1701" w:header="426" w:footer="251" w:gutter="0"/>
          <w:cols w:space="708" w:num="1"/>
          <w:docGrid w:linePitch="360" w:charSpace="0"/>
        </w:sectPr>
      </w:pPr>
    </w:p>
    <w:p>
      <w:pPr>
        <w:shd w:val="clear" w:color="auto" w:fill="FFFFFF"/>
        <w:spacing w:after="0" w:line="360" w:lineRule="auto"/>
        <w:ind w:right="-141" w:rightChars="-64"/>
        <w:jc w:val="center"/>
        <w:textAlignment w:val="baseline"/>
        <w:rPr>
          <w:rFonts w:hint="default" w:ascii="Times New Roman" w:hAnsi="Times New Roman" w:cs="Times New Roman"/>
          <w:szCs w:val="24"/>
          <w:highlight w:val="none"/>
        </w:rPr>
      </w:pPr>
      <w:r>
        <w:rPr>
          <w:rFonts w:hint="default" w:ascii="Times New Roman" w:hAnsi="Times New Roman" w:cs="Times New Roman"/>
          <w:szCs w:val="24"/>
          <w:highlight w:val="none"/>
        </w:rPr>
        <w:t>_________________________________</w:t>
      </w:r>
    </w:p>
    <w:p>
      <w:pPr>
        <w:shd w:val="clear" w:color="auto" w:fill="FFFFFF"/>
        <w:tabs>
          <w:tab w:val="left" w:pos="5529"/>
        </w:tabs>
        <w:spacing w:after="0" w:line="360" w:lineRule="auto"/>
        <w:ind w:right="-141" w:rightChars="-64"/>
        <w:jc w:val="center"/>
        <w:textAlignment w:val="baseline"/>
        <w:rPr>
          <w:rFonts w:hint="default" w:ascii="Times New Roman" w:hAnsi="Times New Roman" w:cs="Times New Roman"/>
          <w:b/>
          <w:bCs/>
          <w:szCs w:val="24"/>
          <w:highlight w:val="none"/>
          <w:lang w:val="pt-BR"/>
        </w:rPr>
      </w:pPr>
      <w:r>
        <w:rPr>
          <w:rFonts w:hint="default" w:ascii="Times New Roman" w:hAnsi="Times New Roman" w:cs="Times New Roman"/>
          <w:b/>
          <w:bCs/>
          <w:szCs w:val="24"/>
          <w:highlight w:val="none"/>
          <w:lang w:val="pt-BR"/>
        </w:rPr>
        <w:t>FLÁVIA C. R. BRESSA PINHEIRO</w:t>
      </w:r>
    </w:p>
    <w:p>
      <w:pPr>
        <w:shd w:val="clear" w:color="auto" w:fill="FFFFFF"/>
        <w:tabs>
          <w:tab w:val="left" w:pos="5529"/>
        </w:tabs>
        <w:spacing w:after="0" w:line="360" w:lineRule="auto"/>
        <w:ind w:right="-141" w:rightChars="-64"/>
        <w:jc w:val="center"/>
        <w:textAlignment w:val="baseline"/>
        <w:rPr>
          <w:rFonts w:hint="default" w:ascii="Times New Roman" w:hAnsi="Times New Roman" w:cs="Times New Roman"/>
          <w:szCs w:val="24"/>
          <w:highlight w:val="none"/>
          <w:lang w:val="pt-BR"/>
        </w:rPr>
      </w:pPr>
      <w:r>
        <w:rPr>
          <w:rFonts w:hint="default" w:ascii="Times New Roman" w:hAnsi="Times New Roman" w:cs="Times New Roman"/>
          <w:szCs w:val="24"/>
          <w:highlight w:val="none"/>
        </w:rPr>
        <w:t xml:space="preserve">Gerente de </w:t>
      </w:r>
      <w:r>
        <w:rPr>
          <w:rFonts w:hint="default" w:ascii="Times New Roman" w:hAnsi="Times New Roman" w:cs="Times New Roman"/>
          <w:szCs w:val="24"/>
          <w:highlight w:val="none"/>
          <w:lang w:val="pt-BR"/>
        </w:rPr>
        <w:t>Planejamento e Gestão Pública</w:t>
      </w:r>
    </w:p>
    <w:p>
      <w:pPr>
        <w:shd w:val="clear" w:color="auto" w:fill="FFFFFF"/>
        <w:tabs>
          <w:tab w:val="left" w:pos="5529"/>
        </w:tabs>
        <w:spacing w:after="0" w:line="360" w:lineRule="auto"/>
        <w:jc w:val="center"/>
        <w:textAlignment w:val="baseline"/>
        <w:rPr>
          <w:rFonts w:hint="default" w:ascii="Times New Roman" w:hAnsi="Times New Roman" w:cs="Times New Roman"/>
          <w:szCs w:val="24"/>
          <w:highlight w:val="none"/>
          <w:lang w:val="pt-BR"/>
        </w:rPr>
      </w:pPr>
    </w:p>
    <w:p>
      <w:pPr>
        <w:shd w:val="clear" w:color="auto" w:fill="FFFFFF"/>
        <w:tabs>
          <w:tab w:val="left" w:pos="5529"/>
        </w:tabs>
        <w:spacing w:after="0" w:line="360" w:lineRule="auto"/>
        <w:ind w:left="-220" w:leftChars="-100" w:firstLine="0" w:firstLineChars="0"/>
        <w:jc w:val="center"/>
        <w:textAlignment w:val="baseline"/>
        <w:rPr>
          <w:rFonts w:hint="default" w:ascii="Times New Roman" w:hAnsi="Times New Roman" w:cs="Times New Roman"/>
          <w:szCs w:val="24"/>
          <w:highlight w:val="none"/>
          <w:lang w:val="pt-BR"/>
        </w:rPr>
      </w:pPr>
      <w:r>
        <w:rPr>
          <w:rFonts w:hint="default" w:ascii="Times New Roman" w:hAnsi="Times New Roman" w:cs="Times New Roman"/>
          <w:szCs w:val="24"/>
          <w:highlight w:val="none"/>
          <w:lang w:val="pt-BR"/>
        </w:rPr>
        <w:t>__________________________________</w:t>
      </w:r>
    </w:p>
    <w:p>
      <w:pPr>
        <w:shd w:val="clear" w:color="auto" w:fill="FFFFFF"/>
        <w:tabs>
          <w:tab w:val="left" w:pos="5529"/>
        </w:tabs>
        <w:spacing w:after="0" w:line="360" w:lineRule="auto"/>
        <w:ind w:left="-220" w:leftChars="-100" w:firstLine="0" w:firstLineChars="0"/>
        <w:jc w:val="center"/>
        <w:textAlignment w:val="baseline"/>
        <w:rPr>
          <w:rFonts w:hint="default" w:ascii="Times New Roman" w:hAnsi="Times New Roman" w:cs="Times New Roman"/>
          <w:b/>
          <w:bCs/>
          <w:szCs w:val="24"/>
          <w:highlight w:val="none"/>
          <w:lang w:val="pt-BR"/>
        </w:rPr>
      </w:pPr>
      <w:r>
        <w:rPr>
          <w:rFonts w:hint="default" w:ascii="Times New Roman" w:hAnsi="Times New Roman" w:cs="Times New Roman"/>
          <w:b/>
          <w:bCs/>
          <w:szCs w:val="24"/>
          <w:highlight w:val="none"/>
          <w:lang w:val="pt-BR"/>
        </w:rPr>
        <w:t>FLÁVIO R. VENDAS TANUS</w:t>
      </w:r>
    </w:p>
    <w:p>
      <w:pPr>
        <w:shd w:val="clear" w:color="auto" w:fill="FFFFFF"/>
        <w:tabs>
          <w:tab w:val="left" w:pos="5529"/>
        </w:tabs>
        <w:spacing w:after="0" w:line="360" w:lineRule="auto"/>
        <w:ind w:left="-220" w:leftChars="-100" w:firstLine="0" w:firstLineChars="0"/>
        <w:jc w:val="center"/>
        <w:textAlignment w:val="baseline"/>
        <w:rPr>
          <w:rFonts w:hint="default" w:ascii="Times New Roman" w:hAnsi="Times New Roman" w:cs="Times New Roman"/>
          <w:szCs w:val="24"/>
          <w:highlight w:val="none"/>
          <w:lang w:val="pt-BR"/>
        </w:rPr>
      </w:pPr>
      <w:r>
        <w:rPr>
          <w:rFonts w:hint="default" w:ascii="Times New Roman" w:hAnsi="Times New Roman" w:cs="Times New Roman"/>
          <w:szCs w:val="24"/>
          <w:highlight w:val="none"/>
          <w:lang w:val="pt-BR"/>
        </w:rPr>
        <w:t>Gerente de Obras</w:t>
      </w:r>
    </w:p>
    <w:p>
      <w:pPr>
        <w:shd w:val="clear" w:color="auto" w:fill="FFFFFF"/>
        <w:tabs>
          <w:tab w:val="left" w:pos="5529"/>
        </w:tabs>
        <w:spacing w:after="0" w:line="360" w:lineRule="auto"/>
        <w:jc w:val="center"/>
        <w:textAlignment w:val="baseline"/>
        <w:rPr>
          <w:rFonts w:hint="default" w:ascii="Times New Roman" w:hAnsi="Times New Roman" w:cs="Times New Roman"/>
          <w:szCs w:val="24"/>
          <w:highlight w:val="none"/>
          <w:lang w:val="pt-BR"/>
        </w:rPr>
      </w:pPr>
    </w:p>
    <w:p>
      <w:pPr>
        <w:shd w:val="clear" w:color="auto" w:fill="FFFFFF"/>
        <w:tabs>
          <w:tab w:val="left" w:pos="5529"/>
        </w:tabs>
        <w:spacing w:after="0" w:line="360" w:lineRule="auto"/>
        <w:jc w:val="both"/>
        <w:textAlignment w:val="baseline"/>
        <w:rPr>
          <w:rFonts w:hint="default" w:ascii="Times New Roman" w:hAnsi="Times New Roman" w:cs="Times New Roman"/>
          <w:szCs w:val="24"/>
          <w:highlight w:val="none"/>
          <w:lang w:val="pt-BR"/>
        </w:rPr>
        <w:sectPr>
          <w:type w:val="continuous"/>
          <w:pgSz w:w="11906" w:h="16838"/>
          <w:pgMar w:top="1417" w:right="1701" w:bottom="1417" w:left="1701" w:header="426" w:footer="251" w:gutter="0"/>
          <w:cols w:equalWidth="0" w:num="2">
            <w:col w:w="4039" w:space="425"/>
            <w:col w:w="4039"/>
          </w:cols>
          <w:docGrid w:linePitch="360" w:charSpace="0"/>
        </w:sectPr>
      </w:pPr>
    </w:p>
    <w:p>
      <w:pPr>
        <w:shd w:val="clear" w:color="auto" w:fill="FFFFFF"/>
        <w:tabs>
          <w:tab w:val="left" w:pos="5529"/>
        </w:tabs>
        <w:spacing w:after="0" w:line="360" w:lineRule="auto"/>
        <w:jc w:val="center"/>
        <w:textAlignment w:val="baseline"/>
        <w:rPr>
          <w:rFonts w:hint="default" w:ascii="Times New Roman" w:hAnsi="Times New Roman" w:cs="Times New Roman"/>
          <w:szCs w:val="24"/>
          <w:highlight w:val="none"/>
          <w:lang w:val="pt-BR"/>
        </w:rPr>
      </w:pPr>
    </w:p>
    <w:p>
      <w:pPr>
        <w:shd w:val="clear" w:color="auto" w:fill="FFFFFF"/>
        <w:tabs>
          <w:tab w:val="left" w:pos="5529"/>
        </w:tabs>
        <w:spacing w:after="0" w:line="360" w:lineRule="auto"/>
        <w:jc w:val="both"/>
        <w:textAlignment w:val="baseline"/>
        <w:rPr>
          <w:rFonts w:hint="default" w:ascii="Times New Roman" w:hAnsi="Times New Roman" w:cs="Times New Roman"/>
          <w:szCs w:val="24"/>
          <w:highlight w:val="none"/>
          <w:lang w:val="pt-BR"/>
        </w:rPr>
      </w:pPr>
      <w:bookmarkStart w:id="3" w:name="_GoBack"/>
      <w:bookmarkEnd w:id="3"/>
    </w:p>
    <w:sectPr>
      <w:type w:val="continuous"/>
      <w:pgSz w:w="11906" w:h="16838"/>
      <w:pgMar w:top="1417" w:right="1701" w:bottom="1417" w:left="1701" w:header="426" w:footer="251"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9923"/>
      </w:tabs>
      <w:ind w:right="-52"/>
      <w:jc w:val="center"/>
      <w:rPr>
        <w:rFonts w:ascii="Times New Roman" w:hAnsi="Times New Roman" w:cs="Times New Roman"/>
        <w:b/>
        <w:i/>
        <w:sz w:val="24"/>
        <w:szCs w:val="24"/>
      </w:rPr>
    </w:pPr>
    <w:r>
      <w:rPr>
        <w:rFonts w:ascii="Times New Roman" w:hAnsi="Times New Roman" w:cs="Times New Roman"/>
        <w:b/>
        <w:i/>
        <w:sz w:val="24"/>
        <w:szCs w:val="24"/>
      </w:rPr>
      <w:t>Praça Prefeito Euclides Antônio Fábris, nº 343 – Centro – Fone: (67) 3409-1500.</w:t>
    </w:r>
  </w:p>
  <w:p>
    <w:pPr>
      <w:pStyle w:val="12"/>
      <w:jc w:val="center"/>
      <w:rPr>
        <w:rFonts w:ascii="Times New Roman" w:hAnsi="Times New Roman" w:cs="Times New Roman"/>
        <w:b/>
        <w:i/>
        <w:sz w:val="24"/>
        <w:szCs w:val="24"/>
      </w:rPr>
    </w:pPr>
    <w:r>
      <w:rPr>
        <w:rFonts w:ascii="Times New Roman" w:hAnsi="Times New Roman" w:cs="Times New Roman"/>
        <w:b/>
        <w:i/>
        <w:sz w:val="24"/>
        <w:szCs w:val="24"/>
      </w:rPr>
      <w:t>CEP: 79950-000 – Naviraí/MS.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1134"/>
        <w:tab w:val="clear" w:pos="4252"/>
      </w:tabs>
      <w:spacing w:line="360" w:lineRule="auto"/>
      <w:ind w:left="851"/>
      <w:jc w:val="center"/>
      <w:rPr>
        <w:rFonts w:ascii="Times New Roman" w:hAnsi="Times New Roman" w:cs="Times New Roman"/>
        <w:b/>
        <w:i/>
        <w:color w:val="000000"/>
        <w:sz w:val="28"/>
        <w:szCs w:val="28"/>
      </w:rPr>
    </w:pPr>
    <w:bookmarkStart w:id="2" w:name="_Hlk69001838"/>
    <w:r>
      <w:rPr>
        <w:rFonts w:ascii="Times New Roman" w:hAnsi="Times New Roman" w:cs="Times New Roman"/>
        <w:i/>
        <w:lang w:eastAsia="pt-BR"/>
      </w:rPr>
      <w:drawing>
        <wp:anchor distT="0" distB="0" distL="114300" distR="114300" simplePos="0" relativeHeight="251659264" behindDoc="0" locked="0" layoutInCell="1" allowOverlap="1">
          <wp:simplePos x="0" y="0"/>
          <wp:positionH relativeFrom="margin">
            <wp:posOffset>1855470</wp:posOffset>
          </wp:positionH>
          <wp:positionV relativeFrom="margin">
            <wp:posOffset>-1963420</wp:posOffset>
          </wp:positionV>
          <wp:extent cx="1304925" cy="1085850"/>
          <wp:effectExtent l="0" t="0" r="9525"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085850"/>
                  </a:xfrm>
                  <a:prstGeom prst="rect">
                    <a:avLst/>
                  </a:prstGeom>
                  <a:ln>
                    <a:noFill/>
                  </a:ln>
                  <a:effectLst>
                    <a:softEdge rad="112500"/>
                  </a:effectLst>
                </pic:spPr>
              </pic:pic>
            </a:graphicData>
          </a:graphic>
        </wp:anchor>
      </w:drawing>
    </w:r>
  </w:p>
  <w:p>
    <w:pPr>
      <w:pStyle w:val="11"/>
      <w:tabs>
        <w:tab w:val="center" w:pos="1134"/>
        <w:tab w:val="clear" w:pos="4252"/>
      </w:tabs>
      <w:spacing w:line="360" w:lineRule="auto"/>
      <w:ind w:left="851"/>
      <w:jc w:val="center"/>
      <w:rPr>
        <w:rFonts w:ascii="Times New Roman" w:hAnsi="Times New Roman" w:cs="Times New Roman"/>
        <w:b/>
        <w:i/>
        <w:color w:val="000000"/>
        <w:sz w:val="28"/>
        <w:szCs w:val="28"/>
      </w:rPr>
    </w:pPr>
  </w:p>
  <w:p>
    <w:pPr>
      <w:pStyle w:val="11"/>
      <w:tabs>
        <w:tab w:val="center" w:pos="1134"/>
        <w:tab w:val="clear" w:pos="4252"/>
      </w:tabs>
      <w:spacing w:line="360" w:lineRule="auto"/>
      <w:ind w:left="851"/>
      <w:jc w:val="center"/>
      <w:rPr>
        <w:rFonts w:ascii="Times New Roman" w:hAnsi="Times New Roman" w:cs="Times New Roman"/>
        <w:b/>
        <w:i/>
        <w:color w:val="000000"/>
        <w:sz w:val="28"/>
        <w:szCs w:val="28"/>
      </w:rPr>
    </w:pPr>
  </w:p>
  <w:p>
    <w:pPr>
      <w:pStyle w:val="11"/>
      <w:tabs>
        <w:tab w:val="center" w:pos="1134"/>
        <w:tab w:val="clear" w:pos="4252"/>
      </w:tabs>
      <w:spacing w:line="360" w:lineRule="auto"/>
      <w:ind w:left="851"/>
      <w:jc w:val="center"/>
      <w:rPr>
        <w:rFonts w:ascii="Times New Roman" w:hAnsi="Times New Roman" w:cs="Times New Roman"/>
        <w:b/>
        <w:i/>
        <w:color w:val="000000"/>
        <w:sz w:val="28"/>
        <w:szCs w:val="28"/>
      </w:rPr>
    </w:pPr>
  </w:p>
  <w:p>
    <w:pPr>
      <w:pStyle w:val="11"/>
      <w:tabs>
        <w:tab w:val="clear" w:pos="4252"/>
      </w:tabs>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PREFEITURA MUNICIPAL DE NAVIRAÍ</w:t>
    </w:r>
  </w:p>
  <w:p>
    <w:pPr>
      <w:pStyle w:val="11"/>
      <w:tabs>
        <w:tab w:val="clear" w:pos="4252"/>
      </w:tabs>
      <w:ind w:right="-114"/>
      <w:jc w:val="center"/>
      <w:rPr>
        <w:rFonts w:ascii="Times New Roman" w:hAnsi="Times New Roman" w:cs="Times New Roman"/>
        <w:b/>
        <w:i/>
        <w:color w:val="000000"/>
        <w:sz w:val="16"/>
        <w:szCs w:val="16"/>
      </w:rPr>
    </w:pPr>
    <w:r>
      <w:rPr>
        <w:rFonts w:ascii="Times New Roman" w:hAnsi="Times New Roman" w:cs="Times New Roman"/>
        <w:b/>
        <w:i/>
        <w:color w:val="000000"/>
        <w:sz w:val="28"/>
        <w:szCs w:val="28"/>
      </w:rPr>
      <w:t>ESTADO DE MATO GROSSO DO SUL</w:t>
    </w:r>
  </w:p>
  <w:p>
    <w:pPr>
      <w:pStyle w:val="11"/>
      <w:tabs>
        <w:tab w:val="clear" w:pos="4252"/>
      </w:tabs>
      <w:jc w:val="center"/>
      <w:rPr>
        <w:rFonts w:ascii="Times New Roman" w:hAnsi="Times New Roman" w:cs="Times New Roman"/>
        <w:b/>
        <w:i/>
        <w:sz w:val="28"/>
        <w:szCs w:val="28"/>
      </w:rPr>
    </w:pPr>
    <w:r>
      <w:rPr>
        <w:rFonts w:ascii="Times New Roman" w:hAnsi="Times New Roman" w:cs="Times New Roman"/>
        <w:b/>
        <w:i/>
        <w:color w:val="000000"/>
        <w:sz w:val="28"/>
        <w:szCs w:val="28"/>
      </w:rPr>
      <w:t xml:space="preserve">CNPJ: </w:t>
    </w:r>
    <w:r>
      <w:rPr>
        <w:rFonts w:ascii="Times New Roman" w:hAnsi="Times New Roman" w:cs="Times New Roman"/>
        <w:b/>
        <w:i/>
        <w:sz w:val="28"/>
        <w:szCs w:val="28"/>
      </w:rPr>
      <w:t>03.155.934/0001-90</w:t>
    </w:r>
  </w:p>
  <w:p>
    <w:pPr>
      <w:pStyle w:val="11"/>
      <w:jc w:val="center"/>
      <w:rPr>
        <w:rFonts w:ascii="Times New Roman" w:hAnsi="Times New Roman" w:cs="Times New Roman"/>
        <w:b/>
        <w:i/>
        <w:sz w:val="28"/>
        <w:szCs w:val="28"/>
      </w:rPr>
    </w:pPr>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A0C46"/>
    <w:multiLevelType w:val="singleLevel"/>
    <w:tmpl w:val="BEFA0C4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627268D"/>
    <w:multiLevelType w:val="multilevel"/>
    <w:tmpl w:val="0627268D"/>
    <w:lvl w:ilvl="0" w:tentative="0">
      <w:start w:val="1"/>
      <w:numFmt w:val="bullet"/>
      <w:lvlText w:val=""/>
      <w:lvlJc w:val="left"/>
      <w:pPr>
        <w:tabs>
          <w:tab w:val="left" w:pos="2476"/>
        </w:tabs>
        <w:ind w:left="2476" w:hanging="360"/>
      </w:pPr>
      <w:rPr>
        <w:rFonts w:hint="default" w:ascii="Symbol" w:hAnsi="Symbol"/>
      </w:rPr>
    </w:lvl>
    <w:lvl w:ilvl="1" w:tentative="0">
      <w:start w:val="1"/>
      <w:numFmt w:val="bullet"/>
      <w:lvlText w:val="o"/>
      <w:lvlJc w:val="left"/>
      <w:pPr>
        <w:tabs>
          <w:tab w:val="left" w:pos="3196"/>
        </w:tabs>
        <w:ind w:left="3196" w:hanging="360"/>
      </w:pPr>
      <w:rPr>
        <w:rFonts w:hint="default" w:ascii="Courier New" w:hAnsi="Courier New" w:cs="Courier New"/>
      </w:rPr>
    </w:lvl>
    <w:lvl w:ilvl="2" w:tentative="0">
      <w:start w:val="1"/>
      <w:numFmt w:val="bullet"/>
      <w:lvlText w:val=""/>
      <w:lvlJc w:val="left"/>
      <w:pPr>
        <w:tabs>
          <w:tab w:val="left" w:pos="3916"/>
        </w:tabs>
        <w:ind w:left="3916" w:hanging="360"/>
      </w:pPr>
      <w:rPr>
        <w:rFonts w:hint="default" w:ascii="Wingdings" w:hAnsi="Wingdings"/>
      </w:rPr>
    </w:lvl>
    <w:lvl w:ilvl="3" w:tentative="0">
      <w:start w:val="1"/>
      <w:numFmt w:val="bullet"/>
      <w:lvlText w:val=""/>
      <w:lvlJc w:val="left"/>
      <w:pPr>
        <w:tabs>
          <w:tab w:val="left" w:pos="4636"/>
        </w:tabs>
        <w:ind w:left="4636" w:hanging="360"/>
      </w:pPr>
      <w:rPr>
        <w:rFonts w:hint="default" w:ascii="Symbol" w:hAnsi="Symbol"/>
      </w:rPr>
    </w:lvl>
    <w:lvl w:ilvl="4" w:tentative="0">
      <w:start w:val="1"/>
      <w:numFmt w:val="bullet"/>
      <w:lvlText w:val="o"/>
      <w:lvlJc w:val="left"/>
      <w:pPr>
        <w:tabs>
          <w:tab w:val="left" w:pos="5356"/>
        </w:tabs>
        <w:ind w:left="5356" w:hanging="360"/>
      </w:pPr>
      <w:rPr>
        <w:rFonts w:hint="default" w:ascii="Courier New" w:hAnsi="Courier New" w:cs="Courier New"/>
      </w:rPr>
    </w:lvl>
    <w:lvl w:ilvl="5" w:tentative="0">
      <w:start w:val="1"/>
      <w:numFmt w:val="bullet"/>
      <w:lvlText w:val=""/>
      <w:lvlJc w:val="left"/>
      <w:pPr>
        <w:tabs>
          <w:tab w:val="left" w:pos="6076"/>
        </w:tabs>
        <w:ind w:left="6076" w:hanging="360"/>
      </w:pPr>
      <w:rPr>
        <w:rFonts w:hint="default" w:ascii="Wingdings" w:hAnsi="Wingdings"/>
      </w:rPr>
    </w:lvl>
    <w:lvl w:ilvl="6" w:tentative="0">
      <w:start w:val="1"/>
      <w:numFmt w:val="bullet"/>
      <w:lvlText w:val=""/>
      <w:lvlJc w:val="left"/>
      <w:pPr>
        <w:tabs>
          <w:tab w:val="left" w:pos="6796"/>
        </w:tabs>
        <w:ind w:left="6796" w:hanging="360"/>
      </w:pPr>
      <w:rPr>
        <w:rFonts w:hint="default" w:ascii="Symbol" w:hAnsi="Symbol"/>
      </w:rPr>
    </w:lvl>
    <w:lvl w:ilvl="7" w:tentative="0">
      <w:start w:val="1"/>
      <w:numFmt w:val="bullet"/>
      <w:lvlText w:val="o"/>
      <w:lvlJc w:val="left"/>
      <w:pPr>
        <w:tabs>
          <w:tab w:val="left" w:pos="7516"/>
        </w:tabs>
        <w:ind w:left="7516" w:hanging="360"/>
      </w:pPr>
      <w:rPr>
        <w:rFonts w:hint="default" w:ascii="Courier New" w:hAnsi="Courier New" w:cs="Courier New"/>
      </w:rPr>
    </w:lvl>
    <w:lvl w:ilvl="8" w:tentative="0">
      <w:start w:val="1"/>
      <w:numFmt w:val="bullet"/>
      <w:lvlText w:val=""/>
      <w:lvlJc w:val="left"/>
      <w:pPr>
        <w:tabs>
          <w:tab w:val="left" w:pos="8236"/>
        </w:tabs>
        <w:ind w:left="8236" w:hanging="360"/>
      </w:pPr>
      <w:rPr>
        <w:rFonts w:hint="default" w:ascii="Wingdings" w:hAnsi="Wingdings"/>
      </w:rPr>
    </w:lvl>
  </w:abstractNum>
  <w:abstractNum w:abstractNumId="2">
    <w:nsid w:val="301A218A"/>
    <w:multiLevelType w:val="multilevel"/>
    <w:tmpl w:val="301A218A"/>
    <w:lvl w:ilvl="0" w:tentative="0">
      <w:start w:val="1"/>
      <w:numFmt w:val="bullet"/>
      <w:lvlText w:val=""/>
      <w:lvlJc w:val="left"/>
      <w:pPr>
        <w:ind w:left="1325" w:hanging="360"/>
      </w:pPr>
      <w:rPr>
        <w:rFonts w:hint="default" w:ascii="Wingdings" w:hAnsi="Wingdings"/>
      </w:rPr>
    </w:lvl>
    <w:lvl w:ilvl="1" w:tentative="0">
      <w:start w:val="1"/>
      <w:numFmt w:val="bullet"/>
      <w:lvlText w:val="o"/>
      <w:lvlJc w:val="left"/>
      <w:pPr>
        <w:ind w:left="2045" w:hanging="360"/>
      </w:pPr>
      <w:rPr>
        <w:rFonts w:hint="default" w:ascii="Courier New" w:hAnsi="Courier New" w:cs="Courier New"/>
      </w:rPr>
    </w:lvl>
    <w:lvl w:ilvl="2" w:tentative="0">
      <w:start w:val="1"/>
      <w:numFmt w:val="bullet"/>
      <w:lvlText w:val=""/>
      <w:lvlJc w:val="left"/>
      <w:pPr>
        <w:ind w:left="2765" w:hanging="360"/>
      </w:pPr>
      <w:rPr>
        <w:rFonts w:hint="default" w:ascii="Wingdings" w:hAnsi="Wingdings"/>
      </w:rPr>
    </w:lvl>
    <w:lvl w:ilvl="3" w:tentative="0">
      <w:start w:val="1"/>
      <w:numFmt w:val="bullet"/>
      <w:lvlText w:val=""/>
      <w:lvlJc w:val="left"/>
      <w:pPr>
        <w:ind w:left="3485" w:hanging="360"/>
      </w:pPr>
      <w:rPr>
        <w:rFonts w:hint="default" w:ascii="Symbol" w:hAnsi="Symbol"/>
      </w:rPr>
    </w:lvl>
    <w:lvl w:ilvl="4" w:tentative="0">
      <w:start w:val="1"/>
      <w:numFmt w:val="bullet"/>
      <w:lvlText w:val="o"/>
      <w:lvlJc w:val="left"/>
      <w:pPr>
        <w:ind w:left="4205" w:hanging="360"/>
      </w:pPr>
      <w:rPr>
        <w:rFonts w:hint="default" w:ascii="Courier New" w:hAnsi="Courier New" w:cs="Courier New"/>
      </w:rPr>
    </w:lvl>
    <w:lvl w:ilvl="5" w:tentative="0">
      <w:start w:val="1"/>
      <w:numFmt w:val="bullet"/>
      <w:lvlText w:val=""/>
      <w:lvlJc w:val="left"/>
      <w:pPr>
        <w:ind w:left="4925" w:hanging="360"/>
      </w:pPr>
      <w:rPr>
        <w:rFonts w:hint="default" w:ascii="Wingdings" w:hAnsi="Wingdings"/>
      </w:rPr>
    </w:lvl>
    <w:lvl w:ilvl="6" w:tentative="0">
      <w:start w:val="1"/>
      <w:numFmt w:val="bullet"/>
      <w:lvlText w:val=""/>
      <w:lvlJc w:val="left"/>
      <w:pPr>
        <w:ind w:left="5645" w:hanging="360"/>
      </w:pPr>
      <w:rPr>
        <w:rFonts w:hint="default" w:ascii="Symbol" w:hAnsi="Symbol"/>
      </w:rPr>
    </w:lvl>
    <w:lvl w:ilvl="7" w:tentative="0">
      <w:start w:val="1"/>
      <w:numFmt w:val="bullet"/>
      <w:lvlText w:val="o"/>
      <w:lvlJc w:val="left"/>
      <w:pPr>
        <w:ind w:left="6365" w:hanging="360"/>
      </w:pPr>
      <w:rPr>
        <w:rFonts w:hint="default" w:ascii="Courier New" w:hAnsi="Courier New" w:cs="Courier New"/>
      </w:rPr>
    </w:lvl>
    <w:lvl w:ilvl="8" w:tentative="0">
      <w:start w:val="1"/>
      <w:numFmt w:val="bullet"/>
      <w:lvlText w:val=""/>
      <w:lvlJc w:val="left"/>
      <w:pPr>
        <w:ind w:left="7085" w:hanging="360"/>
      </w:pPr>
      <w:rPr>
        <w:rFonts w:hint="default" w:ascii="Wingdings" w:hAnsi="Wingdings"/>
      </w:rPr>
    </w:lvl>
  </w:abstractNum>
  <w:abstractNum w:abstractNumId="3">
    <w:nsid w:val="3B8D62E6"/>
    <w:multiLevelType w:val="multilevel"/>
    <w:tmpl w:val="3B8D62E6"/>
    <w:lvl w:ilvl="0" w:tentative="0">
      <w:start w:val="1"/>
      <w:numFmt w:val="bullet"/>
      <w:lvlText w:val=""/>
      <w:lvlJc w:val="left"/>
      <w:pPr>
        <w:ind w:left="825" w:hanging="360"/>
      </w:pPr>
      <w:rPr>
        <w:rFonts w:hint="default" w:ascii="Wingdings" w:hAnsi="Wingdings"/>
      </w:rPr>
    </w:lvl>
    <w:lvl w:ilvl="1" w:tentative="0">
      <w:start w:val="1"/>
      <w:numFmt w:val="bullet"/>
      <w:lvlText w:val="o"/>
      <w:lvlJc w:val="left"/>
      <w:pPr>
        <w:ind w:left="1545" w:hanging="360"/>
      </w:pPr>
      <w:rPr>
        <w:rFonts w:hint="default" w:ascii="Courier New" w:hAnsi="Courier New" w:cs="Courier New"/>
      </w:rPr>
    </w:lvl>
    <w:lvl w:ilvl="2" w:tentative="0">
      <w:start w:val="1"/>
      <w:numFmt w:val="bullet"/>
      <w:lvlText w:val=""/>
      <w:lvlJc w:val="left"/>
      <w:pPr>
        <w:ind w:left="2265" w:hanging="360"/>
      </w:pPr>
      <w:rPr>
        <w:rFonts w:hint="default" w:ascii="Wingdings" w:hAnsi="Wingdings"/>
      </w:rPr>
    </w:lvl>
    <w:lvl w:ilvl="3" w:tentative="0">
      <w:start w:val="1"/>
      <w:numFmt w:val="bullet"/>
      <w:lvlText w:val=""/>
      <w:lvlJc w:val="left"/>
      <w:pPr>
        <w:ind w:left="2985" w:hanging="360"/>
      </w:pPr>
      <w:rPr>
        <w:rFonts w:hint="default" w:ascii="Symbol" w:hAnsi="Symbol"/>
      </w:rPr>
    </w:lvl>
    <w:lvl w:ilvl="4" w:tentative="0">
      <w:start w:val="1"/>
      <w:numFmt w:val="bullet"/>
      <w:lvlText w:val="o"/>
      <w:lvlJc w:val="left"/>
      <w:pPr>
        <w:ind w:left="3705" w:hanging="360"/>
      </w:pPr>
      <w:rPr>
        <w:rFonts w:hint="default" w:ascii="Courier New" w:hAnsi="Courier New" w:cs="Courier New"/>
      </w:rPr>
    </w:lvl>
    <w:lvl w:ilvl="5" w:tentative="0">
      <w:start w:val="1"/>
      <w:numFmt w:val="bullet"/>
      <w:lvlText w:val=""/>
      <w:lvlJc w:val="left"/>
      <w:pPr>
        <w:ind w:left="4425" w:hanging="360"/>
      </w:pPr>
      <w:rPr>
        <w:rFonts w:hint="default" w:ascii="Wingdings" w:hAnsi="Wingdings"/>
      </w:rPr>
    </w:lvl>
    <w:lvl w:ilvl="6" w:tentative="0">
      <w:start w:val="1"/>
      <w:numFmt w:val="bullet"/>
      <w:lvlText w:val=""/>
      <w:lvlJc w:val="left"/>
      <w:pPr>
        <w:ind w:left="5145" w:hanging="360"/>
      </w:pPr>
      <w:rPr>
        <w:rFonts w:hint="default" w:ascii="Symbol" w:hAnsi="Symbol"/>
      </w:rPr>
    </w:lvl>
    <w:lvl w:ilvl="7" w:tentative="0">
      <w:start w:val="1"/>
      <w:numFmt w:val="bullet"/>
      <w:lvlText w:val="o"/>
      <w:lvlJc w:val="left"/>
      <w:pPr>
        <w:ind w:left="5865" w:hanging="360"/>
      </w:pPr>
      <w:rPr>
        <w:rFonts w:hint="default" w:ascii="Courier New" w:hAnsi="Courier New" w:cs="Courier New"/>
      </w:rPr>
    </w:lvl>
    <w:lvl w:ilvl="8" w:tentative="0">
      <w:start w:val="1"/>
      <w:numFmt w:val="bullet"/>
      <w:lvlText w:val=""/>
      <w:lvlJc w:val="left"/>
      <w:pPr>
        <w:ind w:left="6585" w:hanging="360"/>
      </w:pPr>
      <w:rPr>
        <w:rFonts w:hint="default" w:ascii="Wingdings" w:hAnsi="Wingdings"/>
      </w:rPr>
    </w:lvl>
  </w:abstractNum>
  <w:abstractNum w:abstractNumId="4">
    <w:nsid w:val="412866F2"/>
    <w:multiLevelType w:val="multilevel"/>
    <w:tmpl w:val="412866F2"/>
    <w:lvl w:ilvl="0" w:tentative="0">
      <w:start w:val="1"/>
      <w:numFmt w:val="bullet"/>
      <w:lvlText w:val=""/>
      <w:lvlJc w:val="left"/>
      <w:pPr>
        <w:ind w:left="1211" w:hanging="360"/>
      </w:pPr>
      <w:rPr>
        <w:rFonts w:hint="default" w:ascii="Wingdings" w:hAnsi="Wingdings"/>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5">
    <w:nsid w:val="6F026352"/>
    <w:multiLevelType w:val="multilevel"/>
    <w:tmpl w:val="6F026352"/>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9A"/>
    <w:rsid w:val="0004102E"/>
    <w:rsid w:val="00057CD9"/>
    <w:rsid w:val="0009668C"/>
    <w:rsid w:val="000A21C7"/>
    <w:rsid w:val="000A42F6"/>
    <w:rsid w:val="000A47D1"/>
    <w:rsid w:val="000B59FC"/>
    <w:rsid w:val="000C422A"/>
    <w:rsid w:val="000D718F"/>
    <w:rsid w:val="000F5B38"/>
    <w:rsid w:val="001079DD"/>
    <w:rsid w:val="0012232D"/>
    <w:rsid w:val="00137854"/>
    <w:rsid w:val="00145FCD"/>
    <w:rsid w:val="001518CD"/>
    <w:rsid w:val="00153891"/>
    <w:rsid w:val="00153F54"/>
    <w:rsid w:val="001910FA"/>
    <w:rsid w:val="001A7B91"/>
    <w:rsid w:val="001D049A"/>
    <w:rsid w:val="001D4AFF"/>
    <w:rsid w:val="001D6F7E"/>
    <w:rsid w:val="001F1F9D"/>
    <w:rsid w:val="001F5EDD"/>
    <w:rsid w:val="00237437"/>
    <w:rsid w:val="00252303"/>
    <w:rsid w:val="00253B15"/>
    <w:rsid w:val="00262A09"/>
    <w:rsid w:val="002655C4"/>
    <w:rsid w:val="00273757"/>
    <w:rsid w:val="002A2688"/>
    <w:rsid w:val="002A77C3"/>
    <w:rsid w:val="002B18F8"/>
    <w:rsid w:val="002C0B42"/>
    <w:rsid w:val="002C3477"/>
    <w:rsid w:val="002D5130"/>
    <w:rsid w:val="002D6541"/>
    <w:rsid w:val="002E0EBE"/>
    <w:rsid w:val="002E3A54"/>
    <w:rsid w:val="002E789B"/>
    <w:rsid w:val="002F2703"/>
    <w:rsid w:val="003012D1"/>
    <w:rsid w:val="003059B7"/>
    <w:rsid w:val="003152D6"/>
    <w:rsid w:val="00325A23"/>
    <w:rsid w:val="00333384"/>
    <w:rsid w:val="003401C3"/>
    <w:rsid w:val="00342391"/>
    <w:rsid w:val="003431D3"/>
    <w:rsid w:val="00345DBE"/>
    <w:rsid w:val="00362D74"/>
    <w:rsid w:val="003708BA"/>
    <w:rsid w:val="0037393C"/>
    <w:rsid w:val="003759B5"/>
    <w:rsid w:val="003847B2"/>
    <w:rsid w:val="00394B28"/>
    <w:rsid w:val="00396678"/>
    <w:rsid w:val="003A041E"/>
    <w:rsid w:val="003C6890"/>
    <w:rsid w:val="003D7D5E"/>
    <w:rsid w:val="003E65D0"/>
    <w:rsid w:val="003F286E"/>
    <w:rsid w:val="00410D4F"/>
    <w:rsid w:val="00430EFC"/>
    <w:rsid w:val="004366C3"/>
    <w:rsid w:val="00436AE0"/>
    <w:rsid w:val="00450BB5"/>
    <w:rsid w:val="00457C31"/>
    <w:rsid w:val="00473584"/>
    <w:rsid w:val="00477AE1"/>
    <w:rsid w:val="0048390A"/>
    <w:rsid w:val="00491984"/>
    <w:rsid w:val="00495C15"/>
    <w:rsid w:val="004A31F4"/>
    <w:rsid w:val="004A483E"/>
    <w:rsid w:val="004A4DEB"/>
    <w:rsid w:val="004C504D"/>
    <w:rsid w:val="004D377A"/>
    <w:rsid w:val="004D721B"/>
    <w:rsid w:val="0050060E"/>
    <w:rsid w:val="00507CBF"/>
    <w:rsid w:val="00520FEE"/>
    <w:rsid w:val="00531B63"/>
    <w:rsid w:val="00552781"/>
    <w:rsid w:val="005740C0"/>
    <w:rsid w:val="00587917"/>
    <w:rsid w:val="00592E31"/>
    <w:rsid w:val="005943FA"/>
    <w:rsid w:val="005A521C"/>
    <w:rsid w:val="005C05AF"/>
    <w:rsid w:val="005C21BE"/>
    <w:rsid w:val="005D04BD"/>
    <w:rsid w:val="005D0E01"/>
    <w:rsid w:val="005F1665"/>
    <w:rsid w:val="005F1D05"/>
    <w:rsid w:val="005F51C2"/>
    <w:rsid w:val="005F5C54"/>
    <w:rsid w:val="006104B4"/>
    <w:rsid w:val="00610C34"/>
    <w:rsid w:val="0062742C"/>
    <w:rsid w:val="006366F4"/>
    <w:rsid w:val="00636CB6"/>
    <w:rsid w:val="00646BD6"/>
    <w:rsid w:val="00650C4D"/>
    <w:rsid w:val="0065592B"/>
    <w:rsid w:val="00657A85"/>
    <w:rsid w:val="00667725"/>
    <w:rsid w:val="0068153B"/>
    <w:rsid w:val="00682E55"/>
    <w:rsid w:val="006976E4"/>
    <w:rsid w:val="006C5F90"/>
    <w:rsid w:val="006E2E2A"/>
    <w:rsid w:val="006F31DA"/>
    <w:rsid w:val="006F32B3"/>
    <w:rsid w:val="006F7036"/>
    <w:rsid w:val="0070386E"/>
    <w:rsid w:val="00706B73"/>
    <w:rsid w:val="00711DCB"/>
    <w:rsid w:val="00717849"/>
    <w:rsid w:val="0072354D"/>
    <w:rsid w:val="00764DD4"/>
    <w:rsid w:val="00765D41"/>
    <w:rsid w:val="00771E10"/>
    <w:rsid w:val="00797340"/>
    <w:rsid w:val="007A1A49"/>
    <w:rsid w:val="007B0F88"/>
    <w:rsid w:val="007C023F"/>
    <w:rsid w:val="007C4E28"/>
    <w:rsid w:val="007E4941"/>
    <w:rsid w:val="008075FD"/>
    <w:rsid w:val="00812BEC"/>
    <w:rsid w:val="008234A3"/>
    <w:rsid w:val="0084246C"/>
    <w:rsid w:val="00846AFC"/>
    <w:rsid w:val="00873F1E"/>
    <w:rsid w:val="00880A48"/>
    <w:rsid w:val="008866E9"/>
    <w:rsid w:val="00897256"/>
    <w:rsid w:val="008A142D"/>
    <w:rsid w:val="008B5D89"/>
    <w:rsid w:val="008B5DD9"/>
    <w:rsid w:val="008B6818"/>
    <w:rsid w:val="008C2646"/>
    <w:rsid w:val="008D56EF"/>
    <w:rsid w:val="008D7BEE"/>
    <w:rsid w:val="008F150E"/>
    <w:rsid w:val="008F1A39"/>
    <w:rsid w:val="008F53DE"/>
    <w:rsid w:val="00903B04"/>
    <w:rsid w:val="00934233"/>
    <w:rsid w:val="00943835"/>
    <w:rsid w:val="009542F5"/>
    <w:rsid w:val="009567D8"/>
    <w:rsid w:val="0096319C"/>
    <w:rsid w:val="00965163"/>
    <w:rsid w:val="00966FE7"/>
    <w:rsid w:val="0097148C"/>
    <w:rsid w:val="00972000"/>
    <w:rsid w:val="00974179"/>
    <w:rsid w:val="00991F7E"/>
    <w:rsid w:val="009B0ABE"/>
    <w:rsid w:val="009C0C78"/>
    <w:rsid w:val="009C1AE1"/>
    <w:rsid w:val="009C40B3"/>
    <w:rsid w:val="009C44E7"/>
    <w:rsid w:val="009D10A9"/>
    <w:rsid w:val="00A00101"/>
    <w:rsid w:val="00A111D7"/>
    <w:rsid w:val="00A127F4"/>
    <w:rsid w:val="00A2031E"/>
    <w:rsid w:val="00A32AAA"/>
    <w:rsid w:val="00A76558"/>
    <w:rsid w:val="00A95EDE"/>
    <w:rsid w:val="00AA13AC"/>
    <w:rsid w:val="00AA7FAA"/>
    <w:rsid w:val="00AC08AC"/>
    <w:rsid w:val="00AC2156"/>
    <w:rsid w:val="00AD3962"/>
    <w:rsid w:val="00AD3D69"/>
    <w:rsid w:val="00AD7A3D"/>
    <w:rsid w:val="00AE3408"/>
    <w:rsid w:val="00AF10B0"/>
    <w:rsid w:val="00AF2DF2"/>
    <w:rsid w:val="00AF718D"/>
    <w:rsid w:val="00B00B68"/>
    <w:rsid w:val="00B07844"/>
    <w:rsid w:val="00B14874"/>
    <w:rsid w:val="00B2241D"/>
    <w:rsid w:val="00B474AF"/>
    <w:rsid w:val="00B63FE0"/>
    <w:rsid w:val="00B776B4"/>
    <w:rsid w:val="00B81188"/>
    <w:rsid w:val="00B93DB6"/>
    <w:rsid w:val="00BA18D1"/>
    <w:rsid w:val="00BB7AC6"/>
    <w:rsid w:val="00BC0DD3"/>
    <w:rsid w:val="00BE45A8"/>
    <w:rsid w:val="00BF6CE4"/>
    <w:rsid w:val="00BF7F50"/>
    <w:rsid w:val="00C17453"/>
    <w:rsid w:val="00C204FB"/>
    <w:rsid w:val="00C20BBF"/>
    <w:rsid w:val="00C2147A"/>
    <w:rsid w:val="00C256A9"/>
    <w:rsid w:val="00C730D0"/>
    <w:rsid w:val="00C9251A"/>
    <w:rsid w:val="00CA5017"/>
    <w:rsid w:val="00CE62AC"/>
    <w:rsid w:val="00CF18CA"/>
    <w:rsid w:val="00D11329"/>
    <w:rsid w:val="00D25B6A"/>
    <w:rsid w:val="00D30C55"/>
    <w:rsid w:val="00D46BBE"/>
    <w:rsid w:val="00D51B3F"/>
    <w:rsid w:val="00D60AC8"/>
    <w:rsid w:val="00D72083"/>
    <w:rsid w:val="00D87246"/>
    <w:rsid w:val="00DA281A"/>
    <w:rsid w:val="00DA2876"/>
    <w:rsid w:val="00DA4DB0"/>
    <w:rsid w:val="00DB32A6"/>
    <w:rsid w:val="00E02590"/>
    <w:rsid w:val="00E20F97"/>
    <w:rsid w:val="00E2167C"/>
    <w:rsid w:val="00E273AB"/>
    <w:rsid w:val="00E31D8C"/>
    <w:rsid w:val="00E37446"/>
    <w:rsid w:val="00E4224C"/>
    <w:rsid w:val="00E42BB6"/>
    <w:rsid w:val="00E53AA5"/>
    <w:rsid w:val="00E653F8"/>
    <w:rsid w:val="00E75904"/>
    <w:rsid w:val="00E979FC"/>
    <w:rsid w:val="00EA591B"/>
    <w:rsid w:val="00EB636C"/>
    <w:rsid w:val="00EC21D9"/>
    <w:rsid w:val="00EC4012"/>
    <w:rsid w:val="00EC631E"/>
    <w:rsid w:val="00EC6ECB"/>
    <w:rsid w:val="00EE0FB5"/>
    <w:rsid w:val="00EE3D1F"/>
    <w:rsid w:val="00EE4144"/>
    <w:rsid w:val="00F00ACE"/>
    <w:rsid w:val="00F16F56"/>
    <w:rsid w:val="00F239C6"/>
    <w:rsid w:val="00F274C7"/>
    <w:rsid w:val="00F82F20"/>
    <w:rsid w:val="00FB5B44"/>
    <w:rsid w:val="00FC1D93"/>
    <w:rsid w:val="00FC36CA"/>
    <w:rsid w:val="00FC5C5C"/>
    <w:rsid w:val="00FE029A"/>
    <w:rsid w:val="00FE05B0"/>
    <w:rsid w:val="03AA0B98"/>
    <w:rsid w:val="0FF17F0A"/>
    <w:rsid w:val="12EE5816"/>
    <w:rsid w:val="67045A86"/>
    <w:rsid w:val="6C36748B"/>
    <w:rsid w:val="76980D2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character" w:styleId="5">
    <w:name w:val="Emphasis"/>
    <w:basedOn w:val="2"/>
    <w:qFormat/>
    <w:uiPriority w:val="20"/>
    <w:rPr>
      <w:i/>
      <w:iCs/>
    </w:rPr>
  </w:style>
  <w:style w:type="character" w:styleId="6">
    <w:name w:val="footnote reference"/>
    <w:qFormat/>
    <w:uiPriority w:val="0"/>
    <w:rPr>
      <w:vertAlign w:val="superscript"/>
    </w:rPr>
  </w:style>
  <w:style w:type="character" w:styleId="7">
    <w:name w:val="Hyperlink"/>
    <w:basedOn w:val="2"/>
    <w:unhideWhenUsed/>
    <w:qFormat/>
    <w:uiPriority w:val="99"/>
    <w:rPr>
      <w:color w:val="0000FF"/>
      <w:u w:val="single"/>
    </w:rPr>
  </w:style>
  <w:style w:type="paragraph" w:styleId="8">
    <w:name w:val="Body Text"/>
    <w:basedOn w:val="1"/>
    <w:link w:val="19"/>
    <w:unhideWhenUsed/>
    <w:qFormat/>
    <w:uiPriority w:val="1"/>
    <w:pPr>
      <w:suppressAutoHyphens/>
      <w:spacing w:after="0" w:line="360" w:lineRule="auto"/>
      <w:jc w:val="both"/>
    </w:pPr>
    <w:rPr>
      <w:rFonts w:ascii="Arial" w:hAnsi="Arial" w:eastAsia="Times New Roman" w:cs="Times New Roman"/>
      <w:sz w:val="24"/>
      <w:szCs w:val="20"/>
      <w:lang w:eastAsia="ar-SA"/>
    </w:rPr>
  </w:style>
  <w:style w:type="paragraph" w:styleId="9">
    <w:name w:val="Title"/>
    <w:basedOn w:val="1"/>
    <w:link w:val="27"/>
    <w:qFormat/>
    <w:uiPriority w:val="1"/>
    <w:pPr>
      <w:widowControl w:val="0"/>
      <w:autoSpaceDE w:val="0"/>
      <w:autoSpaceDN w:val="0"/>
      <w:spacing w:before="88" w:after="0" w:line="240" w:lineRule="auto"/>
      <w:ind w:left="2525"/>
    </w:pPr>
    <w:rPr>
      <w:rFonts w:ascii="Arial" w:hAnsi="Arial" w:eastAsia="Arial" w:cs="Arial"/>
      <w:b/>
      <w:bCs/>
      <w:sz w:val="11"/>
      <w:szCs w:val="11"/>
      <w:lang w:val="pt-PT"/>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11">
    <w:name w:val="header"/>
    <w:basedOn w:val="1"/>
    <w:link w:val="16"/>
    <w:unhideWhenUsed/>
    <w:qFormat/>
    <w:uiPriority w:val="0"/>
    <w:pPr>
      <w:tabs>
        <w:tab w:val="center" w:pos="4252"/>
        <w:tab w:val="right" w:pos="8504"/>
      </w:tabs>
      <w:spacing w:after="0" w:line="240" w:lineRule="auto"/>
    </w:pPr>
  </w:style>
  <w:style w:type="paragraph" w:styleId="12">
    <w:name w:val="footer"/>
    <w:basedOn w:val="1"/>
    <w:link w:val="17"/>
    <w:unhideWhenUsed/>
    <w:qFormat/>
    <w:uiPriority w:val="0"/>
    <w:pPr>
      <w:tabs>
        <w:tab w:val="center" w:pos="4252"/>
        <w:tab w:val="right" w:pos="8504"/>
      </w:tabs>
      <w:spacing w:after="0" w:line="240" w:lineRule="auto"/>
    </w:pPr>
  </w:style>
  <w:style w:type="paragraph" w:styleId="13">
    <w:name w:val="Balloon Text"/>
    <w:basedOn w:val="1"/>
    <w:link w:val="29"/>
    <w:semiHidden/>
    <w:unhideWhenUsed/>
    <w:qFormat/>
    <w:uiPriority w:val="99"/>
    <w:pPr>
      <w:spacing w:after="0" w:line="240" w:lineRule="auto"/>
    </w:pPr>
    <w:rPr>
      <w:rFonts w:ascii="Tahoma" w:hAnsi="Tahoma" w:cs="Tahoma"/>
      <w:sz w:val="16"/>
      <w:szCs w:val="16"/>
    </w:rPr>
  </w:style>
  <w:style w:type="paragraph" w:styleId="14">
    <w:name w:val="footnote text"/>
    <w:basedOn w:val="1"/>
    <w:link w:val="25"/>
    <w:qFormat/>
    <w:uiPriority w:val="0"/>
    <w:pPr>
      <w:spacing w:after="0" w:line="240" w:lineRule="auto"/>
    </w:pPr>
    <w:rPr>
      <w:rFonts w:ascii="Times New Roman" w:hAnsi="Times New Roman" w:eastAsia="Times New Roman" w:cs="Times New Roman"/>
      <w:sz w:val="20"/>
      <w:szCs w:val="20"/>
      <w:lang w:eastAsia="pt-BR"/>
    </w:rPr>
  </w:style>
  <w:style w:type="table" w:styleId="1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Cabeçalho Char"/>
    <w:basedOn w:val="2"/>
    <w:link w:val="11"/>
    <w:qFormat/>
    <w:uiPriority w:val="0"/>
  </w:style>
  <w:style w:type="character" w:customStyle="1" w:styleId="17">
    <w:name w:val="Rodapé Char"/>
    <w:basedOn w:val="2"/>
    <w:link w:val="12"/>
    <w:qFormat/>
    <w:uiPriority w:val="0"/>
  </w:style>
  <w:style w:type="paragraph" w:customStyle="1" w:styleId="18">
    <w:name w:val="Table Paragraph"/>
    <w:basedOn w:val="1"/>
    <w:qFormat/>
    <w:uiPriority w:val="1"/>
    <w:pPr>
      <w:widowControl w:val="0"/>
      <w:autoSpaceDE w:val="0"/>
      <w:autoSpaceDN w:val="0"/>
      <w:spacing w:after="0" w:line="240" w:lineRule="auto"/>
      <w:ind w:left="103"/>
    </w:pPr>
    <w:rPr>
      <w:rFonts w:ascii="Times New Roman" w:hAnsi="Times New Roman" w:eastAsia="Times New Roman" w:cs="Times New Roman"/>
      <w:lang w:val="en-US"/>
    </w:rPr>
  </w:style>
  <w:style w:type="character" w:customStyle="1" w:styleId="19">
    <w:name w:val="Corpo de texto Char"/>
    <w:basedOn w:val="2"/>
    <w:link w:val="8"/>
    <w:semiHidden/>
    <w:qFormat/>
    <w:uiPriority w:val="0"/>
    <w:rPr>
      <w:rFonts w:ascii="Arial" w:hAnsi="Arial" w:eastAsia="Times New Roman" w:cs="Times New Roman"/>
      <w:sz w:val="24"/>
      <w:szCs w:val="20"/>
      <w:lang w:eastAsia="ar-SA"/>
    </w:rPr>
  </w:style>
  <w:style w:type="paragraph" w:styleId="20">
    <w:name w:val="List Paragraph"/>
    <w:basedOn w:val="1"/>
    <w:qFormat/>
    <w:uiPriority w:val="34"/>
    <w:pPr>
      <w:spacing w:after="0" w:line="240" w:lineRule="auto"/>
      <w:ind w:left="720"/>
      <w:contextualSpacing/>
    </w:pPr>
    <w:rPr>
      <w:rFonts w:ascii="Arial" w:hAnsi="Arial" w:eastAsia="Times New Roman" w:cs="Tahoma"/>
      <w:sz w:val="20"/>
      <w:szCs w:val="24"/>
      <w:lang w:eastAsia="pt-BR"/>
    </w:rPr>
  </w:style>
  <w:style w:type="paragraph" w:customStyle="1" w:styleId="21">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pt-BR" w:eastAsia="pt-BR" w:bidi="ar-SA"/>
    </w:rPr>
  </w:style>
  <w:style w:type="paragraph" w:styleId="22">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 w:type="paragraph" w:customStyle="1" w:styleId="23">
    <w:name w:val="textbod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24">
    <w:name w:val="dou-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25">
    <w:name w:val="Texto de nota de rodapé Char"/>
    <w:basedOn w:val="2"/>
    <w:link w:val="14"/>
    <w:qFormat/>
    <w:uiPriority w:val="0"/>
    <w:rPr>
      <w:rFonts w:ascii="Times New Roman" w:hAnsi="Times New Roman" w:eastAsia="Times New Roman" w:cs="Times New Roman"/>
      <w:sz w:val="20"/>
      <w:szCs w:val="20"/>
      <w:lang w:eastAsia="pt-BR"/>
    </w:rPr>
  </w:style>
  <w:style w:type="paragraph" w:customStyle="1" w:styleId="26">
    <w:name w:val="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27">
    <w:name w:val="Título Char"/>
    <w:basedOn w:val="2"/>
    <w:link w:val="9"/>
    <w:qFormat/>
    <w:uiPriority w:val="1"/>
    <w:rPr>
      <w:rFonts w:ascii="Arial" w:hAnsi="Arial" w:eastAsia="Arial" w:cs="Arial"/>
      <w:b/>
      <w:bCs/>
      <w:sz w:val="11"/>
      <w:szCs w:val="11"/>
      <w:lang w:val="pt-PT"/>
    </w:rPr>
  </w:style>
  <w:style w:type="table" w:customStyle="1" w:styleId="28">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9">
    <w:name w:val="Texto de balão Char"/>
    <w:basedOn w:val="2"/>
    <w:link w:val="1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3E50-8353-4CAB-AB48-AB6A67F99EB6}">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1349</Words>
  <Characters>7290</Characters>
  <Lines>60</Lines>
  <Paragraphs>17</Paragraphs>
  <TotalTime>12</TotalTime>
  <ScaleCrop>false</ScaleCrop>
  <LinksUpToDate>false</LinksUpToDate>
  <CharactersWithSpaces>8622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2022-09-12T20:22:00Z</dcterms:created>
  <dc:creator>User</dc:creator>
  <cp:lastModifiedBy>Usuario</cp:lastModifiedBy>
  <cp:lastPrinted>2023-05-11T12:37:11Z</cp:lastPrinted>
  <dcterms:modified xsi:type="dcterms:W3CDTF">2023-05-11T12:37:12Z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93DA917EA4A041DCA0C235795AF6045A</vt:lpwstr>
  </property>
</Properties>
</file>