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56" w:rsidRDefault="00162BFB">
      <w:pPr>
        <w:spacing w:line="360" w:lineRule="auto"/>
        <w:ind w:leftChars="18" w:left="40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TERMO DE REFERÊNCIA </w:t>
      </w:r>
    </w:p>
    <w:p w:rsidR="00BD1656" w:rsidRDefault="00BD1656">
      <w:pPr>
        <w:spacing w:line="360" w:lineRule="auto"/>
        <w:ind w:leftChars="18" w:left="40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656" w:rsidRDefault="00162BFB">
      <w:pPr>
        <w:tabs>
          <w:tab w:val="left" w:pos="2191"/>
        </w:tabs>
        <w:spacing w:line="360" w:lineRule="auto"/>
        <w:ind w:leftChars="18" w:left="40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INTRODUÇÃO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D1656" w:rsidRDefault="00162BFB">
      <w:pPr>
        <w:tabs>
          <w:tab w:val="left" w:pos="0"/>
        </w:tabs>
        <w:spacing w:line="360" w:lineRule="auto"/>
        <w:ind w:leftChars="18" w:left="40" w:right="-285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1.1 Neste Termo de Referência estão descritos os requisitos mínimos para contratação de empresa para execução de obras no Município de Naviraí, com f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undamento no disposto no art. 22, II, § 2º da Lei nº 8666/93 e 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>alterações posteriores.</w:t>
      </w:r>
    </w:p>
    <w:p w:rsidR="00BD1656" w:rsidRDefault="00BD1656">
      <w:pPr>
        <w:tabs>
          <w:tab w:val="left" w:pos="0"/>
        </w:tabs>
        <w:spacing w:line="240" w:lineRule="auto"/>
        <w:ind w:leftChars="18" w:left="40" w:right="-285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</w:p>
    <w:p w:rsidR="00BD1656" w:rsidRDefault="00162BFB">
      <w:pPr>
        <w:spacing w:line="360" w:lineRule="auto"/>
        <w:ind w:leftChars="18" w:left="40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OBJETO</w:t>
      </w:r>
    </w:p>
    <w:p w:rsidR="00BD1656" w:rsidRDefault="00162BFB">
      <w:pPr>
        <w:spacing w:after="0" w:line="360" w:lineRule="auto"/>
        <w:ind w:leftChars="18" w:left="40"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 Contratação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empresa especializada, para execução da obra de infraestrutura urbana -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ILUMINAÇÃO PÚBLICA EM VIA URBANA DO MUNICÍPIO DE NAVIRAÍ/MS</w:t>
      </w:r>
      <w:r>
        <w:rPr>
          <w:rFonts w:ascii="Times New Roman" w:hAnsi="Times New Roman" w:cs="Times New Roman"/>
          <w:sz w:val="24"/>
          <w:szCs w:val="24"/>
        </w:rPr>
        <w:t>, decorrente do convênio de nº 937681/2022, em atendimento as necessida</w:t>
      </w:r>
      <w:r>
        <w:rPr>
          <w:rFonts w:ascii="Times New Roman" w:hAnsi="Times New Roman" w:cs="Times New Roman"/>
          <w:sz w:val="24"/>
          <w:szCs w:val="24"/>
        </w:rPr>
        <w:t>des da Prefeitura Municipal de Naviraí, com fornecimento de material e mão de obra.</w:t>
      </w:r>
    </w:p>
    <w:p w:rsidR="00BD1656" w:rsidRDefault="00BD1656">
      <w:pPr>
        <w:spacing w:after="0" w:line="360" w:lineRule="auto"/>
        <w:ind w:leftChars="18" w:left="40" w:right="-285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BD1656" w:rsidRDefault="00162BFB">
      <w:pPr>
        <w:spacing w:line="360" w:lineRule="auto"/>
        <w:ind w:leftChars="18" w:left="40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DA JUSTIFICATIVA DA CONTRATAÇÃO</w:t>
      </w:r>
    </w:p>
    <w:p w:rsidR="00BD1656" w:rsidRDefault="00162BFB">
      <w:pPr>
        <w:spacing w:after="0" w:line="360" w:lineRule="auto"/>
        <w:ind w:leftChars="18"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Justifica-se a contratação de empresa especializada, para execução da obra de infraestrutura urbana - ILUMINAÇÃO PÚBLICA EM VIA URB</w:t>
      </w:r>
      <w:r>
        <w:rPr>
          <w:rFonts w:ascii="Times New Roman" w:hAnsi="Times New Roman" w:cs="Times New Roman"/>
          <w:sz w:val="24"/>
          <w:szCs w:val="24"/>
        </w:rPr>
        <w:t xml:space="preserve">ANA DO MUNICÍPIO DE NAVIRAÍ/MS, para reordenação </w:t>
      </w:r>
      <w:proofErr w:type="spellStart"/>
      <w:r>
        <w:rPr>
          <w:rFonts w:ascii="Times New Roman" w:hAnsi="Times New Roman" w:cs="Times New Roman"/>
          <w:sz w:val="24"/>
          <w:szCs w:val="24"/>
        </w:rPr>
        <w:t>luminotécnica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sistema de iluminação de ruas do Município de NAVIRAÍ/MS:</w:t>
      </w:r>
    </w:p>
    <w:p w:rsidR="00BD1656" w:rsidRDefault="00162BFB">
      <w:pPr>
        <w:spacing w:after="0" w:line="360" w:lineRule="auto"/>
        <w:ind w:leftChars="18" w:lef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3.2 Atualmente composto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 lâmpadas de vapor de sódio, vapor de mercúrio, vapor metálico, incandescentes e fluorescentes por lâmpad</w:t>
      </w:r>
      <w:r>
        <w:rPr>
          <w:rFonts w:ascii="Times New Roman" w:hAnsi="Times New Roman" w:cs="Times New Roman"/>
          <w:sz w:val="24"/>
          <w:szCs w:val="24"/>
        </w:rPr>
        <w:t xml:space="preserve">as com tecnologia LED (Light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Diode</w:t>
      </w:r>
      <w:proofErr w:type="spellEnd"/>
      <w:r>
        <w:rPr>
          <w:rFonts w:ascii="Times New Roman" w:hAnsi="Times New Roman" w:cs="Times New Roman"/>
          <w:sz w:val="24"/>
          <w:szCs w:val="24"/>
        </w:rPr>
        <w:t>), a substituição visa maior eficiência energética, redução do consumo de energia elétrica e menor custos de manutenção por meio da adoção de sistemas de gestão inteligente e da possibilidade de monitoramento em te</w:t>
      </w:r>
      <w:r>
        <w:rPr>
          <w:rFonts w:ascii="Times New Roman" w:hAnsi="Times New Roman" w:cs="Times New Roman"/>
          <w:sz w:val="24"/>
          <w:szCs w:val="24"/>
        </w:rPr>
        <w:t>mpo real, melhor qualidade do serviço público de iluminação para a população, maior percepção de segurança e aumento da atratividade de áreas da cidade durante a noite. Além da economia com custeio, a medida guarda consonância com as políticas de sustentab</w:t>
      </w:r>
      <w:r>
        <w:rPr>
          <w:rFonts w:ascii="Times New Roman" w:hAnsi="Times New Roman" w:cs="Times New Roman"/>
          <w:sz w:val="24"/>
          <w:szCs w:val="24"/>
        </w:rPr>
        <w:t>ilidade preconizadas pelo Município que exortam a adoção de providências para a racionalização de gastos públicos.</w:t>
      </w:r>
    </w:p>
    <w:p w:rsidR="00BD1656" w:rsidRDefault="00BD1656">
      <w:pPr>
        <w:spacing w:after="0" w:line="360" w:lineRule="auto"/>
        <w:ind w:leftChars="18" w:left="40" w:right="-28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656" w:rsidRDefault="00162BFB">
      <w:pPr>
        <w:spacing w:after="240" w:line="360" w:lineRule="auto"/>
        <w:ind w:leftChars="18" w:left="40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 DA VIGÊNCIA</w:t>
      </w:r>
    </w:p>
    <w:p w:rsidR="00BD1656" w:rsidRDefault="00162BFB">
      <w:pPr>
        <w:spacing w:before="120" w:after="240" w:line="360" w:lineRule="auto"/>
        <w:ind w:leftChars="18" w:left="40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O prazo para início do serviço, de que trata o objeto deste termo de referência, será contado a partir da data do recebimento da Ordem de Serviços (OS). </w:t>
      </w:r>
    </w:p>
    <w:p w:rsidR="00BD1656" w:rsidRDefault="00162BFB">
      <w:pPr>
        <w:spacing w:before="120" w:after="240" w:line="360" w:lineRule="auto"/>
        <w:ind w:leftChars="18" w:left="40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A vigência do Contrato será de 12 (doze) meses, contado da data da assinatura, prorrogável na</w:t>
      </w:r>
      <w:r>
        <w:rPr>
          <w:rFonts w:ascii="Times New Roman" w:hAnsi="Times New Roman" w:cs="Times New Roman"/>
          <w:sz w:val="24"/>
          <w:szCs w:val="24"/>
        </w:rPr>
        <w:t xml:space="preserve"> forma do art. 57, §1º, da Lei nº 8.666, de 1993. </w:t>
      </w:r>
    </w:p>
    <w:p w:rsidR="00BD1656" w:rsidRDefault="00162BFB">
      <w:pPr>
        <w:spacing w:before="120" w:after="240" w:line="360" w:lineRule="auto"/>
        <w:ind w:leftChars="18" w:left="40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O prazo de execução será de acordo com o Cronograma Físico e Financeiro e caso haja a necessidade de modificação, a contratada fará a apresentação do novo Cronograma para a devida apreciação da Fiscali</w:t>
      </w:r>
      <w:r>
        <w:rPr>
          <w:rFonts w:ascii="Times New Roman" w:hAnsi="Times New Roman" w:cs="Times New Roman"/>
          <w:sz w:val="24"/>
          <w:szCs w:val="24"/>
        </w:rPr>
        <w:t>zação e posterior aprovação pela Gerência Municipal de Obras.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DA NATUREZA E FORMA DE EXECUÇÃO</w:t>
      </w:r>
    </w:p>
    <w:p w:rsidR="00BD1656" w:rsidRDefault="00162BFB">
      <w:pPr>
        <w:spacing w:before="120"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Todos os serviços serão executados em consonância com os Projetos executivos de Engenharia, planilha de composição de custos e demais anexos que compõe o </w:t>
      </w:r>
      <w:r>
        <w:rPr>
          <w:rFonts w:ascii="Times New Roman" w:hAnsi="Times New Roman" w:cs="Times New Roman"/>
          <w:sz w:val="24"/>
          <w:szCs w:val="24"/>
        </w:rPr>
        <w:t xml:space="preserve">presente termo. As Normas, Manuais, Instruções e Especificações vigentes da ABNT, deverão ser </w:t>
      </w:r>
      <w:proofErr w:type="gramStart"/>
      <w:r>
        <w:rPr>
          <w:rFonts w:ascii="Times New Roman" w:hAnsi="Times New Roman" w:cs="Times New Roman"/>
          <w:sz w:val="24"/>
          <w:szCs w:val="24"/>
        </w:rPr>
        <w:t>obedecidos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656" w:rsidRDefault="00162BFB">
      <w:pPr>
        <w:spacing w:before="120"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Os trabalhos serão iniciados no prazo máximo de 05 (cinco) dias, contados da data de recebimento pela contratada da respectiva ordem de início do</w:t>
      </w:r>
      <w:r>
        <w:rPr>
          <w:rFonts w:ascii="Times New Roman" w:hAnsi="Times New Roman" w:cs="Times New Roman"/>
          <w:sz w:val="24"/>
          <w:szCs w:val="24"/>
        </w:rPr>
        <w:t xml:space="preserve">s serviços, emitida pela Comissão Permanente de Licitação juntamente com o Departamento de Engenharia – engenheiro responsável, pertencente à </w:t>
      </w:r>
      <w:r>
        <w:rPr>
          <w:rFonts w:ascii="Times New Roman" w:hAnsi="Times New Roman" w:cs="Times New Roman"/>
          <w:sz w:val="24"/>
          <w:szCs w:val="24"/>
        </w:rPr>
        <w:t>Gerência</w:t>
      </w:r>
      <w:r>
        <w:rPr>
          <w:rFonts w:ascii="Times New Roman" w:hAnsi="Times New Roman" w:cs="Times New Roman"/>
          <w:sz w:val="24"/>
          <w:szCs w:val="24"/>
        </w:rPr>
        <w:t xml:space="preserve"> Municipal de Obras, devendo ser observado pela contratada o cronograma aprovado pelo contratante, em obediência as normas técnicas, devendo estar concluída no prazo ali estabelecido, podendo ser prorrogado ou suspenso por motivo de força maior ou caso for</w:t>
      </w:r>
      <w:r>
        <w:rPr>
          <w:rFonts w:ascii="Times New Roman" w:hAnsi="Times New Roman" w:cs="Times New Roman"/>
          <w:sz w:val="24"/>
          <w:szCs w:val="24"/>
        </w:rPr>
        <w:t xml:space="preserve">tuito, nos termos da lei, por decisão previa e expressa da contratante. </w:t>
      </w:r>
    </w:p>
    <w:p w:rsidR="00BD1656" w:rsidRDefault="00162BFB">
      <w:pPr>
        <w:spacing w:before="120"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As Normas, Manuais, Instruções e Especificações vigentes da ABNT deverão ser obedecidas. Qualquer alteração na sistemática estabelecida, com a respectiva justificativa será subme</w:t>
      </w:r>
      <w:r>
        <w:rPr>
          <w:rFonts w:ascii="Times New Roman" w:hAnsi="Times New Roman" w:cs="Times New Roman"/>
          <w:sz w:val="24"/>
          <w:szCs w:val="24"/>
        </w:rPr>
        <w:t xml:space="preserve">tida à consideração do Município de Naviraí - MS, no qual caberá decidir a orientação a ser adotada. </w:t>
      </w:r>
    </w:p>
    <w:p w:rsidR="00BD1656" w:rsidRDefault="00162BFB">
      <w:pPr>
        <w:spacing w:before="120"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Qualquer operário ou empregado da firma contratada, que na opinião da fiscalização não executar o seu trabalho de maneira correta e adequada, deverá,</w:t>
      </w:r>
      <w:r>
        <w:rPr>
          <w:rFonts w:ascii="Times New Roman" w:hAnsi="Times New Roman" w:cs="Times New Roman"/>
          <w:sz w:val="24"/>
          <w:szCs w:val="24"/>
        </w:rPr>
        <w:t xml:space="preserve"> mediante solicitação por escrito da fiscalização, ser afastado imediatamente pela contratada.</w:t>
      </w:r>
    </w:p>
    <w:p w:rsidR="00BD1656" w:rsidRDefault="00162BFB">
      <w:pPr>
        <w:spacing w:before="120"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5.5. A empresa contratada deverá fornecer equipamento adequado de modo a atender às exigências dos serviços e produzir a quantidade e qualidade satisfatória dos </w:t>
      </w:r>
      <w:r>
        <w:rPr>
          <w:rFonts w:ascii="Times New Roman" w:hAnsi="Times New Roman" w:cs="Times New Roman"/>
          <w:sz w:val="24"/>
          <w:szCs w:val="24"/>
        </w:rPr>
        <w:t xml:space="preserve">mesmos. A fiscalização poderá ordenar remoção e exigir a substituição de qualquer equipamento não satisfatório. </w:t>
      </w:r>
    </w:p>
    <w:p w:rsidR="00BD1656" w:rsidRDefault="00162BFB">
      <w:pPr>
        <w:spacing w:before="120"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Será de inteira responsabilidade da empresa contratada a sinalização dos serviços durante o período de execução. </w:t>
      </w:r>
    </w:p>
    <w:p w:rsidR="00BD1656" w:rsidRDefault="00162BFB">
      <w:pPr>
        <w:spacing w:before="120"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Os serviços serão c</w:t>
      </w:r>
      <w:r>
        <w:rPr>
          <w:rFonts w:ascii="Times New Roman" w:hAnsi="Times New Roman" w:cs="Times New Roman"/>
          <w:sz w:val="24"/>
          <w:szCs w:val="24"/>
        </w:rPr>
        <w:t xml:space="preserve">onsiderados concluídos somente após o término total de cada frente de serviço, inclusive feita à limpeza geral, bem como reparos, caso a fiscalização julgar necessário. </w:t>
      </w:r>
    </w:p>
    <w:p w:rsidR="00BD1656" w:rsidRDefault="00162BFB">
      <w:pPr>
        <w:spacing w:before="120"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Será de inteira responsabilidade da contratada, efetuar todos os serviços de proj</w:t>
      </w:r>
      <w:r>
        <w:rPr>
          <w:rFonts w:ascii="Times New Roman" w:hAnsi="Times New Roman" w:cs="Times New Roman"/>
          <w:sz w:val="24"/>
          <w:szCs w:val="24"/>
        </w:rPr>
        <w:t xml:space="preserve">eto de engenharia, topografia, locação laboratórios, necessários à realização dos trabalhos. </w:t>
      </w:r>
    </w:p>
    <w:p w:rsidR="00BD1656" w:rsidRDefault="00162BFB">
      <w:pPr>
        <w:spacing w:before="120"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A contratada deverá indicar um engenheiro responsável pela obra por ocasião da assinatura do contrato, fornecendo a fiscalização o currículo do profissional </w:t>
      </w:r>
      <w:r>
        <w:rPr>
          <w:rFonts w:ascii="Times New Roman" w:hAnsi="Times New Roman" w:cs="Times New Roman"/>
          <w:sz w:val="24"/>
          <w:szCs w:val="24"/>
        </w:rPr>
        <w:t>e a ART (Anotação de Responsabilidade Técnica) dos serviços.</w:t>
      </w:r>
    </w:p>
    <w:p w:rsidR="00BD1656" w:rsidRDefault="00162BFB">
      <w:pPr>
        <w:spacing w:before="120"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 A contratada terá responsabilidade exclusiva sobre a segurança e assistência de seus empregados fazendo cumprir, no que couber, exigência da Lei Federal n. 6.514 de 22/12/1977 e suas Normas </w:t>
      </w:r>
      <w:r>
        <w:rPr>
          <w:rFonts w:ascii="Times New Roman" w:hAnsi="Times New Roman" w:cs="Times New Roman"/>
          <w:sz w:val="24"/>
          <w:szCs w:val="24"/>
        </w:rPr>
        <w:t>Regulamentadoras.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 Executados os serviços de cada Ordem de Serviço, o seu objeto será recebido: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Parcialmente pela Prefeitura mediante Termo de Recebimento Provisório, assinado pelas partes, que será precedida de efetuação da Medição.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Definitivam</w:t>
      </w:r>
      <w:r>
        <w:rPr>
          <w:rFonts w:ascii="Times New Roman" w:hAnsi="Times New Roman" w:cs="Times New Roman"/>
          <w:sz w:val="24"/>
          <w:szCs w:val="24"/>
        </w:rPr>
        <w:t xml:space="preserve">ente pela Comissão de Fiscalização mediante Termo de Recebimento Definitivo, assinado pelas partes após o decurso do prazo de observação, ou de vistoria que comprove a adequação do objeto aos termos contratuais, que fica fixado em 30 (trinta) dias. III. O </w:t>
      </w:r>
      <w:r>
        <w:rPr>
          <w:rFonts w:ascii="Times New Roman" w:hAnsi="Times New Roman" w:cs="Times New Roman"/>
          <w:sz w:val="24"/>
          <w:szCs w:val="24"/>
        </w:rPr>
        <w:t>Termo de Recebimento Definitivo não eximirá a contratada das obrigações definidas nos artigos 69 da Lei nº 8.666/93 e § 2º do art. 73 da mesma Lei.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 A contratada fica </w:t>
      </w:r>
      <w:proofErr w:type="gramStart"/>
      <w:r>
        <w:rPr>
          <w:rFonts w:ascii="Times New Roman" w:hAnsi="Times New Roman" w:cs="Times New Roman"/>
          <w:sz w:val="24"/>
          <w:szCs w:val="24"/>
        </w:rPr>
        <w:t>obrigada a aceitar nas mesmas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condições contratuais, os acréscimos ou supressões que </w:t>
      </w:r>
      <w:r>
        <w:rPr>
          <w:rFonts w:ascii="Times New Roman" w:hAnsi="Times New Roman" w:cs="Times New Roman"/>
          <w:sz w:val="24"/>
          <w:szCs w:val="24"/>
        </w:rPr>
        <w:t xml:space="preserve">se fizerem no objeto contratual até o limite legal do valor do contrato, de acordo com o disposto no art. 65, Inciso I e § 1º da Lei Federal nº. 8.666/93. 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 </w:t>
      </w:r>
      <w:proofErr w:type="gramStart"/>
      <w:r>
        <w:rPr>
          <w:rFonts w:ascii="Times New Roman" w:hAnsi="Times New Roman" w:cs="Times New Roman"/>
          <w:sz w:val="24"/>
          <w:szCs w:val="24"/>
        </w:rPr>
        <w:t>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vedado a subcontratação parcial ou integral dos serviços, objeto desta licitação.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5.14 Todo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pessoal da contratada deverá possuir habilitação e experiência para executar adequadamente os serviços que lhes forem atribuídos.</w:t>
      </w:r>
    </w:p>
    <w:p w:rsidR="00BD1656" w:rsidRDefault="00BD1656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656" w:rsidRDefault="00162BFB">
      <w:pPr>
        <w:spacing w:after="240" w:line="360" w:lineRule="auto"/>
        <w:ind w:leftChars="18" w:left="40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DO PAGAMENTO</w:t>
      </w:r>
    </w:p>
    <w:p w:rsidR="00BD1656" w:rsidRDefault="00162BFB">
      <w:pPr>
        <w:spacing w:before="120" w:after="240" w:line="360" w:lineRule="auto"/>
        <w:ind w:leftChars="18" w:left="40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pagamento, decorrente da execução do objeto desta licitação, será efetuado </w:t>
      </w:r>
      <w:r>
        <w:rPr>
          <w:rFonts w:ascii="Times New Roman" w:hAnsi="Times New Roman" w:cs="Times New Roman"/>
          <w:sz w:val="24"/>
          <w:szCs w:val="24"/>
        </w:rPr>
        <w:t xml:space="preserve">conforme </w:t>
      </w:r>
      <w:r>
        <w:rPr>
          <w:rFonts w:ascii="Times New Roman" w:hAnsi="Times New Roman" w:cs="Times New Roman"/>
          <w:sz w:val="24"/>
          <w:szCs w:val="24"/>
          <w:u w:val="single"/>
        </w:rPr>
        <w:t>medição mensal</w:t>
      </w:r>
      <w:r>
        <w:rPr>
          <w:rFonts w:ascii="Times New Roman" w:hAnsi="Times New Roman" w:cs="Times New Roman"/>
          <w:sz w:val="24"/>
          <w:szCs w:val="24"/>
        </w:rPr>
        <w:t xml:space="preserve"> e a </w:t>
      </w:r>
      <w:r>
        <w:rPr>
          <w:rFonts w:ascii="Times New Roman" w:hAnsi="Times New Roman" w:cs="Times New Roman"/>
          <w:sz w:val="24"/>
          <w:szCs w:val="24"/>
        </w:rPr>
        <w:t>apresentação da Nota Fiscal/</w:t>
      </w:r>
      <w:proofErr w:type="gramStart"/>
      <w:r>
        <w:rPr>
          <w:rFonts w:ascii="Times New Roman" w:hAnsi="Times New Roman" w:cs="Times New Roman"/>
          <w:sz w:val="24"/>
          <w:szCs w:val="24"/>
        </w:rPr>
        <w:t>Fatura, devidamente atestada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D1656" w:rsidRDefault="00162BFB">
      <w:pPr>
        <w:spacing w:before="120" w:after="240" w:line="360" w:lineRule="auto"/>
        <w:ind w:leftChars="18" w:left="40" w:right="-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 O pagamento, decorrente dos serviços, será efetuado mediante crédito em conta corrente, em até 30 (trinta) dias a contar do recebimento da nota fiscal atestada após a aprovação dos serviços, p</w:t>
      </w:r>
      <w:r>
        <w:rPr>
          <w:rFonts w:ascii="Times New Roman" w:hAnsi="Times New Roman" w:cs="Times New Roman"/>
          <w:sz w:val="24"/>
          <w:szCs w:val="24"/>
        </w:rPr>
        <w:t xml:space="preserve">elo Servidor ou Comissão de Fiscalização designada pelo titular da </w:t>
      </w:r>
      <w:r>
        <w:rPr>
          <w:rFonts w:ascii="Times New Roman" w:hAnsi="Times New Roman" w:cs="Times New Roman"/>
          <w:sz w:val="24"/>
          <w:szCs w:val="24"/>
        </w:rPr>
        <w:t>Gerência</w:t>
      </w:r>
      <w:r>
        <w:rPr>
          <w:rFonts w:ascii="Times New Roman" w:hAnsi="Times New Roman" w:cs="Times New Roman"/>
          <w:sz w:val="24"/>
          <w:szCs w:val="24"/>
        </w:rPr>
        <w:t xml:space="preserve"> Municipal de Obras e respectiva documentação fiscal, devidamente atestada pelo setor competente, conforme dispõe o art. 40, inciso XIV, alínea “a”, combinado com o art. 73, incisos</w:t>
      </w:r>
      <w:r>
        <w:rPr>
          <w:rFonts w:ascii="Times New Roman" w:hAnsi="Times New Roman" w:cs="Times New Roman"/>
          <w:sz w:val="24"/>
          <w:szCs w:val="24"/>
        </w:rPr>
        <w:t xml:space="preserve"> I e II, alíneas “b” (conforme o caso), da Lei n° 8.666/93 e alterações.</w:t>
      </w:r>
    </w:p>
    <w:p w:rsidR="00BD1656" w:rsidRDefault="00162BFB">
      <w:pPr>
        <w:spacing w:after="240" w:line="360" w:lineRule="auto"/>
        <w:ind w:leftChars="18" w:left="40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Ocorrendo erro no documento da cobrança, este será devolvido e o pagamento será sustado para que o prestador tome as medidas necessárias, passando o prazo para o pagamento a ser c</w:t>
      </w:r>
      <w:r>
        <w:rPr>
          <w:rFonts w:ascii="Times New Roman" w:hAnsi="Times New Roman" w:cs="Times New Roman"/>
          <w:sz w:val="24"/>
          <w:szCs w:val="24"/>
        </w:rPr>
        <w:t>ontado a partir da data da reapresentação do mesmo.</w:t>
      </w:r>
    </w:p>
    <w:p w:rsidR="00BD1656" w:rsidRDefault="00162BFB">
      <w:pPr>
        <w:spacing w:after="240" w:line="360" w:lineRule="auto"/>
        <w:ind w:leftChars="18" w:left="40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6.3 Caso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constate erro ou irregularidade na Nota Fiscal, o órgão, a seu critério, poderá devolvê-la, para as devidas correções.</w:t>
      </w:r>
    </w:p>
    <w:p w:rsidR="00BD1656" w:rsidRDefault="00162BFB">
      <w:pPr>
        <w:spacing w:after="240" w:line="360" w:lineRule="auto"/>
        <w:ind w:leftChars="18" w:left="40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6.3.1 Na hipótese de devolução, a Nota Fiscal será considerada como não </w:t>
      </w:r>
      <w:r>
        <w:rPr>
          <w:rFonts w:ascii="Times New Roman" w:hAnsi="Times New Roman" w:cs="Times New Roman"/>
          <w:sz w:val="24"/>
          <w:szCs w:val="24"/>
        </w:rPr>
        <w:t>apresentada, para fins de atendimento das condições contratuais.</w:t>
      </w:r>
    </w:p>
    <w:p w:rsidR="00BD1656" w:rsidRDefault="00162BFB">
      <w:pPr>
        <w:spacing w:after="240" w:line="360" w:lineRule="auto"/>
        <w:ind w:leftChars="18" w:left="40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>
        <w:rPr>
          <w:rFonts w:ascii="Times New Roman" w:eastAsia="Calibri" w:hAnsi="Times New Roman" w:cs="Times New Roman"/>
          <w:sz w:val="24"/>
          <w:szCs w:val="24"/>
        </w:rPr>
        <w:t>A contratada deverá apresentar junto a Nota Fiscal e relatório de serviços, os seguintes documentos:</w:t>
      </w:r>
    </w:p>
    <w:p w:rsidR="00BD1656" w:rsidRDefault="00162BFB">
      <w:pPr>
        <w:spacing w:line="360" w:lineRule="auto"/>
        <w:ind w:leftChars="1800" w:left="39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6.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.1 Prova de Regularidade com 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Fazenda Federal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e a Seguridade Social – CND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(INSS)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mediante a Certidão Conjunta Negativa ou Positiva, com efeitos de negativa, de Débitos Relativos aos Tributos Federais e à Dívida Ativa da União;</w:t>
      </w:r>
    </w:p>
    <w:p w:rsidR="00BD1656" w:rsidRDefault="00162BFB">
      <w:pPr>
        <w:spacing w:line="360" w:lineRule="auto"/>
        <w:ind w:leftChars="1800" w:left="39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6.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.2 Prova de regularidade com 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Fazenda Estadual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(Certidão Negativa de Débitos, ou Positiva com efeito de Ne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gativa de Tributos Estaduais),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lastRenderedPageBreak/>
        <w:t>emitido pelo órgão competente, da localidade de domicilio ou sede da empresa do proponente, na forma da Lei;</w:t>
      </w:r>
    </w:p>
    <w:p w:rsidR="00BD1656" w:rsidRDefault="00162BFB">
      <w:pPr>
        <w:spacing w:line="360" w:lineRule="auto"/>
        <w:ind w:leftChars="1800" w:left="39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6.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.3 Prova de regularidade com 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Fazenda Municipal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(Certidão Negativa de Débitos, ou Positiva com efeito de Negativ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de Tributos Municipais), emitido pelo órgão competente, da localidade de domicilio ou sede da empresa do proponente, na forma da Lei;</w:t>
      </w:r>
    </w:p>
    <w:p w:rsidR="00BD1656" w:rsidRDefault="00162BFB">
      <w:pPr>
        <w:spacing w:line="360" w:lineRule="auto"/>
        <w:ind w:leftChars="1800" w:left="39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6.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.4 Prova de Regularidade relativa ao Fundo de Garantia por Tempo de Serviço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(FGTS)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, mediante Certificado de Regularid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ade do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FGTS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;</w:t>
      </w:r>
    </w:p>
    <w:p w:rsidR="00BD1656" w:rsidRDefault="00162BFB">
      <w:pPr>
        <w:tabs>
          <w:tab w:val="left" w:pos="426"/>
          <w:tab w:val="left" w:pos="849"/>
          <w:tab w:val="left" w:pos="850"/>
        </w:tabs>
        <w:spacing w:after="0" w:line="360" w:lineRule="auto"/>
        <w:ind w:leftChars="1800" w:left="39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6.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.5 A comprovação da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Regularidade Trabalhista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consistirá na apresentação de prova de inexistência de débitos inadimplidos perante a Justiça do Trabalho, mediante a apresentação da Certidão Negativa de Débitos Trabalhistas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(CNDT)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ou Certidão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Positiva com efeitos de negativa, emitida pelo TST – Tribunal Superior do Trabalho.</w:t>
      </w:r>
    </w:p>
    <w:p w:rsidR="00BD1656" w:rsidRDefault="00BD1656">
      <w:pPr>
        <w:tabs>
          <w:tab w:val="left" w:pos="426"/>
          <w:tab w:val="left" w:pos="849"/>
          <w:tab w:val="left" w:pos="850"/>
        </w:tabs>
        <w:spacing w:after="0" w:line="360" w:lineRule="auto"/>
        <w:ind w:leftChars="18" w:left="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BD1656" w:rsidRDefault="00162BFB">
      <w:pPr>
        <w:spacing w:after="240" w:line="360" w:lineRule="auto"/>
        <w:ind w:leftChars="18" w:left="40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DA QUALIFICAÇÃO TÉCNICA</w:t>
      </w:r>
    </w:p>
    <w:p w:rsidR="00BD1656" w:rsidRDefault="00162BFB" w:rsidP="00162BFB">
      <w:pPr>
        <w:pStyle w:val="PargrafodaLista"/>
        <w:numPr>
          <w:ilvl w:val="0"/>
          <w:numId w:val="1"/>
        </w:numPr>
        <w:spacing w:before="40" w:after="40" w:line="360" w:lineRule="auto"/>
        <w:ind w:leftChars="18" w:left="4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Registro ou prova de inscrição, em nome da empresa licitante e de seu(s) </w:t>
      </w:r>
      <w:proofErr w:type="gramStart"/>
      <w:r>
        <w:rPr>
          <w:rFonts w:ascii="Times New Roman" w:hAnsi="Times New Roman" w:cs="Times New Roman"/>
          <w:sz w:val="24"/>
        </w:rPr>
        <w:t>responsável(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is</w:t>
      </w:r>
      <w:proofErr w:type="spellEnd"/>
      <w:r>
        <w:rPr>
          <w:rFonts w:ascii="Times New Roman" w:hAnsi="Times New Roman" w:cs="Times New Roman"/>
          <w:sz w:val="24"/>
        </w:rPr>
        <w:t xml:space="preserve">) técnico(s), emitida pelo Conselho Regional de </w:t>
      </w:r>
      <w:r>
        <w:rPr>
          <w:rFonts w:ascii="Times New Roman" w:hAnsi="Times New Roman" w:cs="Times New Roman"/>
          <w:sz w:val="24"/>
        </w:rPr>
        <w:t>Engenharia, e Agronomia (CREA);</w:t>
      </w:r>
    </w:p>
    <w:p w:rsidR="00BD1656" w:rsidRDefault="00162BFB">
      <w:pPr>
        <w:pStyle w:val="PargrafodaLista"/>
        <w:numPr>
          <w:ilvl w:val="0"/>
          <w:numId w:val="2"/>
        </w:numPr>
        <w:spacing w:line="360" w:lineRule="auto"/>
        <w:ind w:leftChars="18" w:left="39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Comprovação do licitante de possuir em seu quadro permanente de pessoal, na data prevista para entrega da proposta, profissional (ais) de nível superior em Engenharia </w:t>
      </w:r>
      <w:proofErr w:type="gramStart"/>
      <w:r>
        <w:rPr>
          <w:rFonts w:ascii="Times New Roman" w:hAnsi="Times New Roman" w:cs="Times New Roman"/>
          <w:sz w:val="24"/>
        </w:rPr>
        <w:t>Elétrica</w:t>
      </w:r>
      <w:r>
        <w:rPr>
          <w:rFonts w:ascii="Times New Roman" w:hAnsi="Times New Roman" w:cs="Times New Roman"/>
          <w:sz w:val="24"/>
        </w:rPr>
        <w:t xml:space="preserve"> devidamente reconhecido</w:t>
      </w:r>
      <w:proofErr w:type="gramEnd"/>
      <w:r>
        <w:rPr>
          <w:rFonts w:ascii="Times New Roman" w:hAnsi="Times New Roman" w:cs="Times New Roman"/>
          <w:sz w:val="24"/>
        </w:rPr>
        <w:t xml:space="preserve"> pela entidade competente</w:t>
      </w:r>
      <w:r>
        <w:rPr>
          <w:rFonts w:ascii="Times New Roman" w:hAnsi="Times New Roman" w:cs="Times New Roman"/>
          <w:sz w:val="24"/>
        </w:rPr>
        <w:t xml:space="preserve"> correlata com os serviços licitados:</w:t>
      </w:r>
    </w:p>
    <w:p w:rsidR="00BD1656" w:rsidRDefault="00162BFB">
      <w:pPr>
        <w:pStyle w:val="TableParagraph"/>
        <w:spacing w:line="360" w:lineRule="auto"/>
        <w:ind w:leftChars="18" w:left="40" w:firstLine="709"/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a) Trabalhista: através da apresentação de cópia autenticada da “Ficha de Registro de Empregado” registrada na DRT ou de anotação na comprovação de Trabalho e Previdência Social – CTPS;</w:t>
      </w:r>
    </w:p>
    <w:p w:rsidR="00BD1656" w:rsidRDefault="00162BFB">
      <w:pPr>
        <w:pStyle w:val="TableParagraph"/>
        <w:spacing w:line="360" w:lineRule="auto"/>
        <w:ind w:leftChars="18" w:left="40" w:firstLine="709"/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lastRenderedPageBreak/>
        <w:t>b) Contratual: através da aprese</w:t>
      </w:r>
      <w:r>
        <w:rPr>
          <w:bCs/>
          <w:sz w:val="24"/>
          <w:szCs w:val="24"/>
          <w:lang w:val="pt-BR"/>
        </w:rPr>
        <w:t>ntação de cópia autenticada do Instrumento Particular de Contrato de Prestação de Serviços celebrado entre o profissional e a empresa proponente até a data da apresentação da documentação, juntamente com a Certidão de Registro de Pessoa Jurídica junto ao C</w:t>
      </w:r>
      <w:r>
        <w:rPr>
          <w:bCs/>
          <w:sz w:val="24"/>
          <w:szCs w:val="24"/>
          <w:lang w:val="pt-BR"/>
        </w:rPr>
        <w:t>REA, com prazo de vigência válido, no qual conste a inscrição do profissional, citado no referido Instrumento Particular, como responsável técnico da licitante;</w:t>
      </w:r>
    </w:p>
    <w:p w:rsidR="00BD1656" w:rsidRDefault="00162BFB">
      <w:pPr>
        <w:pStyle w:val="TableParagraph"/>
        <w:spacing w:line="360" w:lineRule="auto"/>
        <w:ind w:leftChars="18" w:left="40" w:firstLine="709"/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c) Societário: através da apresentação do Ato Constitutivo, Estatuto ou Contrato Social consoli</w:t>
      </w:r>
      <w:r>
        <w:rPr>
          <w:bCs/>
          <w:sz w:val="24"/>
          <w:szCs w:val="24"/>
          <w:lang w:val="pt-BR"/>
        </w:rPr>
        <w:t>dado em vigor devidamente registrado na Junta Comercial.</w:t>
      </w:r>
    </w:p>
    <w:p w:rsidR="00BD1656" w:rsidRDefault="00162BFB">
      <w:pPr>
        <w:pStyle w:val="TableParagraph"/>
        <w:spacing w:line="360" w:lineRule="auto"/>
        <w:ind w:leftChars="18" w:left="40" w:firstLine="709"/>
        <w:jc w:val="both"/>
        <w:rPr>
          <w:sz w:val="24"/>
        </w:rPr>
      </w:pPr>
      <w:r>
        <w:rPr>
          <w:sz w:val="24"/>
          <w:lang w:val="pt-BR"/>
        </w:rPr>
        <w:t xml:space="preserve">Os atestados de </w:t>
      </w:r>
      <w:r>
        <w:rPr>
          <w:b/>
          <w:bCs/>
          <w:sz w:val="24"/>
          <w:lang w:val="pt-BR"/>
        </w:rPr>
        <w:t>capacidade técnico-profissional</w:t>
      </w:r>
      <w:r>
        <w:rPr>
          <w:sz w:val="24"/>
          <w:lang w:val="pt-BR"/>
        </w:rPr>
        <w:t xml:space="preserve"> acompanhado pelo Certificado de Acervo Técnico (CAT) deverão estar devidamente registrados no Conselho Regional de Engenharia (CREA) da região onde os </w:t>
      </w:r>
      <w:r>
        <w:rPr>
          <w:sz w:val="24"/>
          <w:lang w:val="pt-BR"/>
        </w:rPr>
        <w:t xml:space="preserve">serviços foram executados, comprovando que o engenheiro eletricista constante do quadro técnico da licitante executou serviços similares, em vulto e tipologia aos da contratação pretendida, conforme descrição abaixo. </w:t>
      </w:r>
    </w:p>
    <w:p w:rsidR="00BD1656" w:rsidRDefault="00BD1656">
      <w:pPr>
        <w:pStyle w:val="TableParagraph"/>
        <w:spacing w:line="360" w:lineRule="auto"/>
        <w:ind w:left="102" w:firstLine="709"/>
        <w:jc w:val="both"/>
        <w:rPr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4399"/>
        <w:gridCol w:w="870"/>
        <w:gridCol w:w="1440"/>
        <w:gridCol w:w="1609"/>
      </w:tblGrid>
      <w:tr w:rsidR="00BD1656">
        <w:trPr>
          <w:trHeight w:val="696"/>
          <w:jc w:val="center"/>
        </w:trPr>
        <w:tc>
          <w:tcPr>
            <w:tcW w:w="754" w:type="dxa"/>
            <w:vAlign w:val="center"/>
          </w:tcPr>
          <w:p w:rsidR="00BD1656" w:rsidRDefault="00162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399" w:type="dxa"/>
            <w:vAlign w:val="center"/>
          </w:tcPr>
          <w:p w:rsidR="00BD1656" w:rsidRDefault="00162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870" w:type="dxa"/>
            <w:vAlign w:val="center"/>
          </w:tcPr>
          <w:p w:rsidR="00BD1656" w:rsidRDefault="00162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440" w:type="dxa"/>
            <w:vAlign w:val="center"/>
          </w:tcPr>
          <w:p w:rsidR="00BD1656" w:rsidRDefault="00162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QUANTIDADE PROJETO</w:t>
            </w:r>
          </w:p>
        </w:tc>
        <w:tc>
          <w:tcPr>
            <w:tcW w:w="1609" w:type="dxa"/>
            <w:vAlign w:val="center"/>
          </w:tcPr>
          <w:p w:rsidR="00BD1656" w:rsidRDefault="00162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QUANTIDADE MINÍMA EXIGIDA 50%</w:t>
            </w:r>
          </w:p>
        </w:tc>
      </w:tr>
      <w:tr w:rsidR="00BD1656">
        <w:trPr>
          <w:trHeight w:val="5543"/>
          <w:jc w:val="center"/>
        </w:trPr>
        <w:tc>
          <w:tcPr>
            <w:tcW w:w="754" w:type="dxa"/>
            <w:vAlign w:val="center"/>
          </w:tcPr>
          <w:p w:rsidR="00BD1656" w:rsidRDefault="00162BFB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pt-BR"/>
              </w:rPr>
              <w:t>2.1.2</w:t>
            </w:r>
          </w:p>
        </w:tc>
        <w:tc>
          <w:tcPr>
            <w:tcW w:w="4399" w:type="dxa"/>
            <w:vAlign w:val="center"/>
          </w:tcPr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Luminária destinada a iluminação pública com carcaça em alumínio com dissipador de incorporado a luminária, acesso aos módulos/placa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leds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driver de alimentação e bocal de encaixe padrão com diâmetro de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33mm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60mm. </w:t>
            </w:r>
          </w:p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Potência máxima: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150W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Tensão de 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trada: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90-305 V AC, 50/60hz, </w:t>
            </w:r>
          </w:p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Base ou conexão direta com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fios,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shorting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gap; </w:t>
            </w:r>
          </w:p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Proteção mínima de surto de 10KV/10KA.</w:t>
            </w:r>
          </w:p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Fator de potência: maior ou igual a 0,97;</w:t>
            </w:r>
          </w:p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Eficiência Luminosa: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maior ou igual a 145 LM/W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(aproximadamente 10%);</w:t>
            </w:r>
          </w:p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IRC: maior ou igual 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70;</w:t>
            </w:r>
          </w:p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Temperatura da cor: 5000K (aproximadamente 5%);</w:t>
            </w:r>
          </w:p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Fluxo luminoso: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minimo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21.750LM;</w:t>
            </w:r>
          </w:p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Grau de Proteção (IP): maior ou igual a IP66;</w:t>
            </w:r>
          </w:p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Temperatura de operação: -10 a +50°C;</w:t>
            </w:r>
          </w:p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Vida útil: maior ou igual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100.000 horas;</w:t>
            </w:r>
          </w:p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Certificado de Garantia: mínimo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anos expedida e assinada pelo fabricante em nome do município, apresentar junto com a proposta todos os ensaios (relacionados no termo de referência) em laboratório acreditados ao INMETRO, conforme a portaria nº 20. </w:t>
            </w:r>
          </w:p>
          <w:p w:rsidR="00BD1656" w:rsidRDefault="00162B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entar selo PROCEL.</w:t>
            </w:r>
          </w:p>
        </w:tc>
        <w:tc>
          <w:tcPr>
            <w:tcW w:w="870" w:type="dxa"/>
            <w:noWrap/>
            <w:vAlign w:val="center"/>
          </w:tcPr>
          <w:p w:rsidR="00BD1656" w:rsidRDefault="00162BFB">
            <w:pPr>
              <w:ind w:right="3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440" w:type="dxa"/>
            <w:noWrap/>
            <w:vAlign w:val="center"/>
          </w:tcPr>
          <w:p w:rsidR="00BD1656" w:rsidRDefault="00162BFB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737,00</w:t>
            </w:r>
          </w:p>
        </w:tc>
        <w:tc>
          <w:tcPr>
            <w:tcW w:w="1609" w:type="dxa"/>
            <w:vAlign w:val="center"/>
          </w:tcPr>
          <w:p w:rsidR="00BD1656" w:rsidRDefault="00162BF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368,00</w:t>
            </w:r>
          </w:p>
        </w:tc>
      </w:tr>
    </w:tbl>
    <w:p w:rsidR="00BD1656" w:rsidRDefault="00BD1656">
      <w:pPr>
        <w:pStyle w:val="PargrafodaLista"/>
        <w:tabs>
          <w:tab w:val="left" w:pos="2861"/>
        </w:tabs>
        <w:spacing w:before="99" w:line="360" w:lineRule="auto"/>
        <w:ind w:leftChars="18" w:left="40" w:firstLineChars="350" w:firstLine="840"/>
        <w:jc w:val="both"/>
        <w:rPr>
          <w:rFonts w:ascii="Times New Roman" w:hAnsi="Times New Roman" w:cs="Times New Roman"/>
          <w:sz w:val="24"/>
        </w:rPr>
      </w:pPr>
    </w:p>
    <w:p w:rsidR="00BD1656" w:rsidRDefault="00162BFB">
      <w:pPr>
        <w:pStyle w:val="PargrafodaLista"/>
        <w:tabs>
          <w:tab w:val="left" w:pos="2861"/>
        </w:tabs>
        <w:spacing w:before="99" w:line="360" w:lineRule="auto"/>
        <w:ind w:leftChars="18" w:left="40" w:firstLineChars="350" w:firstLine="8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Quanto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à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capacitação</w:t>
      </w:r>
      <w:r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técnico-operacional:</w:t>
      </w:r>
      <w:r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apresentação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um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ou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mais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atestados de capacidade técnica, fornecido por pessoa jurídica de direito público ou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privado devidamente identificada, em nome do licitante, relativo</w:t>
      </w:r>
      <w:r>
        <w:rPr>
          <w:rFonts w:ascii="Times New Roman" w:hAnsi="Times New Roman" w:cs="Times New Roman"/>
          <w:sz w:val="24"/>
        </w:rPr>
        <w:t xml:space="preserve"> à execução de obra ou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serviço</w:t>
      </w:r>
      <w:r>
        <w:rPr>
          <w:rFonts w:ascii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</w:t>
      </w:r>
      <w:r>
        <w:rPr>
          <w:rFonts w:ascii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engenharia,</w:t>
      </w:r>
      <w:r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compatível</w:t>
      </w:r>
      <w:r>
        <w:rPr>
          <w:rFonts w:ascii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em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características,</w:t>
      </w:r>
      <w:r>
        <w:rPr>
          <w:rFonts w:ascii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quantidades</w:t>
      </w:r>
      <w:r>
        <w:rPr>
          <w:rFonts w:ascii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prazos</w:t>
      </w:r>
      <w:r>
        <w:rPr>
          <w:rFonts w:ascii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com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objeto</w:t>
      </w:r>
      <w:r>
        <w:rPr>
          <w:rFonts w:ascii="Times New Roman" w:hAnsi="Times New Roman" w:cs="Times New Roman"/>
          <w:spacing w:val="-5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presente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licitação,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envolvendo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as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parcelas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maior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relevância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valor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significativo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pacing w:val="-59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objeto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 licitação,</w:t>
      </w:r>
      <w:r>
        <w:rPr>
          <w:rFonts w:ascii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com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as seguintes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proporções</w:t>
      </w:r>
      <w:r>
        <w:rPr>
          <w:rFonts w:ascii="Times New Roman" w:hAnsi="Times New Roman" w:cs="Times New Roman"/>
          <w:sz w:val="24"/>
        </w:rPr>
        <w:t xml:space="preserve"> mínimas:</w:t>
      </w:r>
    </w:p>
    <w:p w:rsidR="00BD1656" w:rsidRDefault="00BD1656">
      <w:pPr>
        <w:pStyle w:val="PargrafodaLista"/>
        <w:tabs>
          <w:tab w:val="left" w:pos="2861"/>
        </w:tabs>
        <w:spacing w:before="99" w:line="360" w:lineRule="auto"/>
        <w:ind w:leftChars="18" w:left="40" w:firstLineChars="350" w:firstLine="840"/>
        <w:jc w:val="both"/>
        <w:rPr>
          <w:rFonts w:ascii="Times New Roman" w:hAnsi="Times New Roman" w:cs="Times New Roman"/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4210"/>
        <w:gridCol w:w="684"/>
        <w:gridCol w:w="1712"/>
        <w:gridCol w:w="1712"/>
      </w:tblGrid>
      <w:tr w:rsidR="00BD1656">
        <w:trPr>
          <w:trHeight w:val="901"/>
          <w:jc w:val="center"/>
        </w:trPr>
        <w:tc>
          <w:tcPr>
            <w:tcW w:w="754" w:type="dxa"/>
            <w:vAlign w:val="center"/>
          </w:tcPr>
          <w:p w:rsidR="00BD1656" w:rsidRDefault="00162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210" w:type="dxa"/>
            <w:vAlign w:val="center"/>
          </w:tcPr>
          <w:p w:rsidR="00BD1656" w:rsidRDefault="00162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684" w:type="dxa"/>
            <w:vAlign w:val="center"/>
          </w:tcPr>
          <w:p w:rsidR="00BD1656" w:rsidRDefault="00162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712" w:type="dxa"/>
            <w:vAlign w:val="center"/>
          </w:tcPr>
          <w:p w:rsidR="00BD1656" w:rsidRDefault="00162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QUANTIDADE PROJETO</w:t>
            </w:r>
          </w:p>
        </w:tc>
        <w:tc>
          <w:tcPr>
            <w:tcW w:w="1712" w:type="dxa"/>
            <w:vAlign w:val="center"/>
          </w:tcPr>
          <w:p w:rsidR="00BD1656" w:rsidRDefault="00162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QUANTIDADE MINÍMA EXIGIDA 50%</w:t>
            </w:r>
          </w:p>
        </w:tc>
      </w:tr>
      <w:tr w:rsidR="00BD1656">
        <w:trPr>
          <w:trHeight w:val="5543"/>
          <w:jc w:val="center"/>
        </w:trPr>
        <w:tc>
          <w:tcPr>
            <w:tcW w:w="754" w:type="dxa"/>
            <w:vAlign w:val="center"/>
          </w:tcPr>
          <w:p w:rsidR="00BD1656" w:rsidRDefault="00162BFB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pt-BR"/>
              </w:rPr>
              <w:t>2.1.2</w:t>
            </w:r>
          </w:p>
        </w:tc>
        <w:tc>
          <w:tcPr>
            <w:tcW w:w="4210" w:type="dxa"/>
            <w:vAlign w:val="center"/>
          </w:tcPr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Luminária destinada a iluminação pública com carcaça em alumínio com dissipador de incorporado a luminária, acesso aos módulos/placa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leds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driver de alimentação e bocal de encaixe padrão com diâmetro de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33mm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60mm. </w:t>
            </w:r>
          </w:p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Potência máxima: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150W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Tensão de entrada: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90-305 V AC, 50/60hz, </w:t>
            </w:r>
          </w:p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Base ou conexão direta com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fios,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shorting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gap; </w:t>
            </w:r>
          </w:p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Proteção mínima de surto de 10KV/10KA.</w:t>
            </w:r>
          </w:p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Fator de potência: maior ou igual a 0,97;</w:t>
            </w:r>
          </w:p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Eficiência Luminosa: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maior ou igual a 145 LM/W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(aproximadamente 10%);</w:t>
            </w:r>
          </w:p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IRC: maior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ou igual a 70;</w:t>
            </w:r>
          </w:p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Temperatura da cor: 5000K (aproximadamente 5%);</w:t>
            </w:r>
          </w:p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Fluxo luminoso: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minimo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21.750LM;</w:t>
            </w:r>
          </w:p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Grau de Proteção (IP): maior ou igual a IP66;</w:t>
            </w:r>
          </w:p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Temperatura de operação: -10 a +50°C;</w:t>
            </w:r>
          </w:p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Vida útil: maior ou igual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100.000 horas;</w:t>
            </w:r>
          </w:p>
          <w:p w:rsidR="00BD1656" w:rsidRDefault="00162BF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Certificado de Garantia: míni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anos expedida e assinada pelo fabricante em nome do município, apresentar junto com a proposta todos os ensaios (relacionados no termo de referência) em laboratório acreditados ao INMETRO, conforme a portaria nº 20. </w:t>
            </w:r>
          </w:p>
          <w:p w:rsidR="00BD1656" w:rsidRDefault="00162B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Apresentar selo PROCEL.</w:t>
            </w:r>
          </w:p>
        </w:tc>
        <w:tc>
          <w:tcPr>
            <w:tcW w:w="684" w:type="dxa"/>
            <w:noWrap/>
            <w:vAlign w:val="center"/>
          </w:tcPr>
          <w:p w:rsidR="00BD1656" w:rsidRDefault="00162BFB">
            <w:pPr>
              <w:ind w:right="3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712" w:type="dxa"/>
            <w:noWrap/>
            <w:vAlign w:val="center"/>
          </w:tcPr>
          <w:p w:rsidR="00BD1656" w:rsidRDefault="00162BFB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737,00</w:t>
            </w:r>
          </w:p>
        </w:tc>
        <w:tc>
          <w:tcPr>
            <w:tcW w:w="1712" w:type="dxa"/>
            <w:vAlign w:val="center"/>
          </w:tcPr>
          <w:p w:rsidR="00BD1656" w:rsidRDefault="00162BF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368,00</w:t>
            </w:r>
          </w:p>
        </w:tc>
      </w:tr>
    </w:tbl>
    <w:p w:rsidR="00BD1656" w:rsidRDefault="00BD1656">
      <w:pPr>
        <w:pStyle w:val="PargrafodaLista"/>
        <w:spacing w:line="360" w:lineRule="auto"/>
        <w:ind w:left="1418" w:right="-1"/>
        <w:jc w:val="both"/>
        <w:rPr>
          <w:rFonts w:ascii="Times New Roman" w:hAnsi="Times New Roman" w:cs="Times New Roman"/>
          <w:sz w:val="24"/>
        </w:rPr>
      </w:pPr>
    </w:p>
    <w:p w:rsidR="00BD1656" w:rsidRDefault="00162BFB">
      <w:pPr>
        <w:adjustRightInd w:val="0"/>
        <w:spacing w:line="360" w:lineRule="auto"/>
        <w:ind w:leftChars="18" w:left="40" w:firstLineChars="35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 o tema, vejamos o entendimento sumulado do Tribunal de Contas da União:</w:t>
      </w:r>
    </w:p>
    <w:p w:rsidR="00BD1656" w:rsidRDefault="00162BFB">
      <w:pPr>
        <w:pStyle w:val="PargrafodaLista"/>
        <w:adjustRightInd w:val="0"/>
        <w:ind w:left="396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“Para a comprovação da capacidade técnico-operacional das licitantes, e desde que limitada, simultaneamente, às parcelas de maior relevância e valor significativo do </w:t>
      </w:r>
      <w:r>
        <w:rPr>
          <w:rFonts w:ascii="Times New Roman" w:hAnsi="Times New Roman" w:cs="Times New Roman"/>
          <w:i/>
          <w:iCs/>
          <w:sz w:val="24"/>
        </w:rPr>
        <w:t xml:space="preserve">objeto a ser contratado, é legal a exigência de comprovação da execução de quantitativos mínimos em obras ou serviços com características semelhantes, devendo essa exigência </w:t>
      </w:r>
      <w:r>
        <w:rPr>
          <w:rFonts w:ascii="Times New Roman" w:hAnsi="Times New Roman" w:cs="Times New Roman"/>
          <w:i/>
          <w:iCs/>
          <w:sz w:val="24"/>
        </w:rPr>
        <w:lastRenderedPageBreak/>
        <w:t>guardar proporção com a dimensão e a complexidade do objeto executado.”</w:t>
      </w:r>
    </w:p>
    <w:p w:rsidR="00BD1656" w:rsidRDefault="00162BFB">
      <w:pPr>
        <w:spacing w:line="247" w:lineRule="auto"/>
        <w:ind w:left="3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(Súmula n.</w:t>
      </w:r>
      <w:r>
        <w:rPr>
          <w:rFonts w:ascii="Times New Roman" w:hAnsi="Times New Roman" w:cs="Times New Roman"/>
          <w:i/>
          <w:iCs/>
          <w:sz w:val="24"/>
          <w:szCs w:val="24"/>
        </w:rPr>
        <w:t>º 263/2011 do Tribunal de Contas da União)</w:t>
      </w:r>
    </w:p>
    <w:p w:rsidR="00BD1656" w:rsidRDefault="00162BFB">
      <w:pPr>
        <w:spacing w:line="360" w:lineRule="auto"/>
        <w:ind w:leftChars="18" w:left="40" w:firstLineChars="350" w:firstLine="8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Não serão admitidos atestados emitidos em nome de eventuais subcontratadas ou de outras empresas que não sejam os licitantes.</w:t>
      </w:r>
    </w:p>
    <w:p w:rsidR="00BD1656" w:rsidRDefault="00BD1656">
      <w:pPr>
        <w:spacing w:after="0" w:line="360" w:lineRule="auto"/>
        <w:ind w:leftChars="18" w:left="40" w:right="-285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D1656" w:rsidRDefault="00162BFB">
      <w:pPr>
        <w:spacing w:after="0" w:line="360" w:lineRule="auto"/>
        <w:ind w:leftChars="18" w:left="40"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DA ORIGEM DOS RECURSOS</w:t>
      </w:r>
    </w:p>
    <w:p w:rsidR="00BD1656" w:rsidRDefault="00162BFB">
      <w:pPr>
        <w:spacing w:before="120" w:after="240" w:line="360" w:lineRule="auto"/>
        <w:ind w:leftChars="18" w:left="40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As despesas futuras decorrentes do êxito da contratação do objeto desta licitação correrão à conta de recursos específicos consignados no Orçamento da Prefeitura pela </w:t>
      </w:r>
      <w:r>
        <w:rPr>
          <w:rFonts w:ascii="Times New Roman" w:hAnsi="Times New Roman" w:cs="Times New Roman"/>
          <w:sz w:val="24"/>
          <w:szCs w:val="24"/>
        </w:rPr>
        <w:t>Gerência</w:t>
      </w:r>
      <w:r>
        <w:rPr>
          <w:rFonts w:ascii="Times New Roman" w:hAnsi="Times New Roman" w:cs="Times New Roman"/>
          <w:sz w:val="24"/>
          <w:szCs w:val="24"/>
        </w:rPr>
        <w:t xml:space="preserve"> Municipal de Obras:</w:t>
      </w:r>
    </w:p>
    <w:p w:rsidR="00BD1656" w:rsidRDefault="00162BFB">
      <w:pPr>
        <w:pStyle w:val="TableParagraph"/>
        <w:spacing w:before="41" w:line="360" w:lineRule="auto"/>
        <w:ind w:leftChars="18" w:left="40"/>
        <w:jc w:val="both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CONVÊNIO</w:t>
      </w:r>
    </w:p>
    <w:p w:rsidR="00BD1656" w:rsidRDefault="00162BFB">
      <w:pPr>
        <w:pStyle w:val="TableParagraph"/>
        <w:spacing w:before="41" w:line="360" w:lineRule="auto"/>
        <w:ind w:leftChars="18" w:left="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Fonte: 1700</w:t>
      </w:r>
    </w:p>
    <w:p w:rsidR="00BD1656" w:rsidRDefault="00162BFB">
      <w:pPr>
        <w:pStyle w:val="TableParagraph"/>
        <w:spacing w:before="41" w:line="360" w:lineRule="auto"/>
        <w:ind w:leftChars="18" w:left="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Despesa: 9301</w:t>
      </w:r>
    </w:p>
    <w:p w:rsidR="00BD1656" w:rsidRDefault="00162BFB">
      <w:pPr>
        <w:pStyle w:val="TableParagraph"/>
        <w:spacing w:before="41" w:line="360" w:lineRule="auto"/>
        <w:ind w:leftChars="18" w:left="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Detalhamento: </w:t>
      </w:r>
      <w:r>
        <w:rPr>
          <w:sz w:val="24"/>
          <w:szCs w:val="24"/>
          <w:lang w:val="pt-BR"/>
        </w:rPr>
        <w:t>Convênio União/outros</w:t>
      </w:r>
    </w:p>
    <w:p w:rsidR="00BD1656" w:rsidRDefault="00BD1656">
      <w:pPr>
        <w:pStyle w:val="TableParagraph"/>
        <w:spacing w:before="41" w:line="360" w:lineRule="auto"/>
        <w:ind w:leftChars="18" w:left="40"/>
        <w:jc w:val="both"/>
        <w:rPr>
          <w:sz w:val="24"/>
          <w:szCs w:val="24"/>
          <w:highlight w:val="yellow"/>
          <w:lang w:val="pt-BR"/>
        </w:rPr>
      </w:pPr>
    </w:p>
    <w:p w:rsidR="00BD1656" w:rsidRDefault="00162BFB">
      <w:pPr>
        <w:pStyle w:val="TableParagraph"/>
        <w:spacing w:before="41" w:line="360" w:lineRule="auto"/>
        <w:ind w:leftChars="18" w:left="40"/>
        <w:jc w:val="both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CONTRAPARTIDA</w:t>
      </w:r>
    </w:p>
    <w:p w:rsidR="00BD1656" w:rsidRDefault="00162BFB">
      <w:pPr>
        <w:pStyle w:val="TableParagraph"/>
        <w:spacing w:before="41" w:line="360" w:lineRule="auto"/>
        <w:ind w:leftChars="18" w:left="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Fonte: 1751</w:t>
      </w:r>
    </w:p>
    <w:p w:rsidR="00BD1656" w:rsidRDefault="00162BFB">
      <w:pPr>
        <w:pStyle w:val="TableParagraph"/>
        <w:spacing w:before="41" w:line="360" w:lineRule="auto"/>
        <w:ind w:leftChars="18" w:left="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Despesa: 1905</w:t>
      </w:r>
    </w:p>
    <w:p w:rsidR="00BD1656" w:rsidRDefault="00162BFB">
      <w:pPr>
        <w:pStyle w:val="TableParagraph"/>
        <w:spacing w:before="41" w:line="360" w:lineRule="auto"/>
        <w:ind w:leftChars="18" w:left="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Detalhamento: Recursos Próprios</w:t>
      </w:r>
    </w:p>
    <w:p w:rsidR="00BD1656" w:rsidRDefault="00BD1656">
      <w:pPr>
        <w:pStyle w:val="TableParagraph"/>
        <w:spacing w:before="41" w:line="360" w:lineRule="auto"/>
        <w:ind w:leftChars="18" w:left="40"/>
        <w:jc w:val="both"/>
        <w:rPr>
          <w:sz w:val="24"/>
          <w:szCs w:val="24"/>
          <w:lang w:val="pt-BR"/>
        </w:rPr>
      </w:pPr>
    </w:p>
    <w:p w:rsidR="00BD1656" w:rsidRDefault="00162BFB">
      <w:pPr>
        <w:spacing w:after="240" w:line="360" w:lineRule="auto"/>
        <w:ind w:leftChars="18" w:left="40"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DAS OBRIGAÇÕES DA CONTRATADA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Executar fielmente os serviços, compreendendo, inclusive, o fornecimento de mão-de-obra e materiais necessários à execução </w:t>
      </w:r>
      <w:r>
        <w:rPr>
          <w:rFonts w:ascii="Times New Roman" w:hAnsi="Times New Roman" w:cs="Times New Roman"/>
          <w:sz w:val="24"/>
          <w:szCs w:val="24"/>
        </w:rPr>
        <w:t xml:space="preserve">do objeto, de acordo com as especificações técnicas constantes do Projeto desenvolvido pela Contratante, o qual será entregue no início das obras, e demais termos prescritos no edital de licitação e no presente CONTRATO. 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Reparar, corrigir, remover, r</w:t>
      </w:r>
      <w:r>
        <w:rPr>
          <w:rFonts w:ascii="Times New Roman" w:hAnsi="Times New Roman" w:cs="Times New Roman"/>
          <w:sz w:val="24"/>
          <w:szCs w:val="24"/>
        </w:rPr>
        <w:t xml:space="preserve">econstruir ou substituir, as suas expensas, no total ou em parte, o objeto do contrato em que se verificarem vícios, defeitos ou incorreções resultantes da execução ou de materiais empregados. 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9.3. Promover diligências junto aos órgãos competentes e/ou co</w:t>
      </w:r>
      <w:r>
        <w:rPr>
          <w:rFonts w:ascii="Times New Roman" w:hAnsi="Times New Roman" w:cs="Times New Roman"/>
          <w:sz w:val="24"/>
          <w:szCs w:val="24"/>
        </w:rPr>
        <w:t xml:space="preserve">ncessionárias de serviços públicos, para as respectivas aprovações de projetos, quando for o caso. Ressalta-se, ainda, que caberá à CONTRATADA, todo o ônus e/ou providências cabíveis para remanejamento de instalações junto à locação da obra. 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Possuir </w:t>
      </w:r>
      <w:r>
        <w:rPr>
          <w:rFonts w:ascii="Times New Roman" w:hAnsi="Times New Roman" w:cs="Times New Roman"/>
          <w:sz w:val="24"/>
          <w:szCs w:val="24"/>
        </w:rPr>
        <w:t xml:space="preserve">corpo técnico qualificado em conformidade com o porte da obra contratada e Anotações de Responsabilidade Técnica apresentadas em processo licitatório a que este CONTRATO se vincula. 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Manter durante toda a execução do contrato, em compatibilidade com a</w:t>
      </w:r>
      <w:r>
        <w:rPr>
          <w:rFonts w:ascii="Times New Roman" w:hAnsi="Times New Roman" w:cs="Times New Roman"/>
          <w:sz w:val="24"/>
          <w:szCs w:val="24"/>
        </w:rPr>
        <w:t xml:space="preserve">s obrigações por ela assumidas, todas as condições de habilitação e qualificação exigidas para a presente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contratação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Executar os serviços de acordo com as especificações técnicas e prazos determinados no Edital, como também de acordo com o </w:t>
      </w:r>
      <w:r>
        <w:rPr>
          <w:rFonts w:ascii="Times New Roman" w:hAnsi="Times New Roman" w:cs="Times New Roman"/>
          <w:sz w:val="24"/>
          <w:szCs w:val="24"/>
        </w:rPr>
        <w:t>cronograma físico-financeiro. Caso esta obrigação não seja cumprida dentro do prazo, a contratada ficará sujeita à multa.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9.7. Manter a equipe executora dos serviços convenientemente uniformizada e com identificação por meio de crachá. 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 Propiciar o ac</w:t>
      </w:r>
      <w:r>
        <w:rPr>
          <w:rFonts w:ascii="Times New Roman" w:hAnsi="Times New Roman" w:cs="Times New Roman"/>
          <w:sz w:val="24"/>
          <w:szCs w:val="24"/>
        </w:rPr>
        <w:t xml:space="preserve">esso da fiscalização da CONTRATANTE aos locais onde se realizarão os serviços, para verificação do efetivo cumprimento das condições pactuadas. 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9.9. A atuação da comissão fiscalizadora da CONTRATANTE não exime a contratada de sua total e exclusiva respons</w:t>
      </w:r>
      <w:r>
        <w:rPr>
          <w:rFonts w:ascii="Times New Roman" w:hAnsi="Times New Roman" w:cs="Times New Roman"/>
          <w:sz w:val="24"/>
          <w:szCs w:val="24"/>
        </w:rPr>
        <w:t xml:space="preserve">abilidade sobre a qualidade dos serviços. 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9.10. Empregar boa técnica na execução dos serviços, com materiais de primeira qualidade, de acordo com o previsto no Edital e Projeto. 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9.11. Executar todos os serviços complementares julgados necessários para qu</w:t>
      </w:r>
      <w:r>
        <w:rPr>
          <w:rFonts w:ascii="Times New Roman" w:hAnsi="Times New Roman" w:cs="Times New Roman"/>
          <w:sz w:val="24"/>
          <w:szCs w:val="24"/>
        </w:rPr>
        <w:t xml:space="preserve">e o local tenha condições de uso satisfatório. 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9.12. Corrigir e/ou refazer os serviços e substituir os materiais, às suas expensas, não aprovados pela fiscalização da Contratante, caso os mesmos não atendam às especificações técnicas constantes do Projeto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9.13. Fornecer, além dos materiais especificados e mão de obra permanente, todas as ferramentas necessárias, ficando responsável por seu transporte e guarda. 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9.14. Fornecer a seus funcionários uniformes e equipamentos de proteção individual (</w:t>
      </w:r>
      <w:proofErr w:type="spellStart"/>
      <w:r>
        <w:rPr>
          <w:rFonts w:ascii="Times New Roman" w:hAnsi="Times New Roman" w:cs="Times New Roman"/>
          <w:sz w:val="24"/>
          <w:szCs w:val="24"/>
        </w:rPr>
        <w:t>EPI’s</w:t>
      </w:r>
      <w:proofErr w:type="spellEnd"/>
      <w:r>
        <w:rPr>
          <w:rFonts w:ascii="Times New Roman" w:hAnsi="Times New Roman" w:cs="Times New Roman"/>
          <w:sz w:val="24"/>
          <w:szCs w:val="24"/>
        </w:rPr>
        <w:t>) e c</w:t>
      </w:r>
      <w:r>
        <w:rPr>
          <w:rFonts w:ascii="Times New Roman" w:hAnsi="Times New Roman" w:cs="Times New Roman"/>
          <w:sz w:val="24"/>
          <w:szCs w:val="24"/>
        </w:rPr>
        <w:t xml:space="preserve">oletiva adequados à execução dos serviços e em conformidade com as normas de segurança vigentes. 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9.15. Responsabilizar-se por quaisquer danos ao patrimônio da contratante, causados por seus funcionários em virtude da execução dos serviços. 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9.16. Executar</w:t>
      </w:r>
      <w:r>
        <w:rPr>
          <w:rFonts w:ascii="Times New Roman" w:hAnsi="Times New Roman" w:cs="Times New Roman"/>
          <w:sz w:val="24"/>
          <w:szCs w:val="24"/>
        </w:rPr>
        <w:t xml:space="preserve"> limpeza geral, ao final da execução dos serviços, devendo a obra </w:t>
      </w:r>
      <w:proofErr w:type="gramStart"/>
      <w:r>
        <w:rPr>
          <w:rFonts w:ascii="Times New Roman" w:hAnsi="Times New Roman" w:cs="Times New Roman"/>
          <w:sz w:val="24"/>
          <w:szCs w:val="24"/>
        </w:rPr>
        <w:t>ser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entregue em perfeitas condições de ocupação e uso. 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9.17. Obedecer sempre às recomendações dos fabricantes na aplicação dos materiais industrializados e dos de emprego Permanente, cabend</w:t>
      </w:r>
      <w:r>
        <w:rPr>
          <w:rFonts w:ascii="Times New Roman" w:hAnsi="Times New Roman" w:cs="Times New Roman"/>
          <w:sz w:val="24"/>
          <w:szCs w:val="24"/>
        </w:rPr>
        <w:t xml:space="preserve">o à CONTRATADA, em qualquer caso, a responsabilidade técnica e os ônus decorrentes de sua má aplicação. 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9.18. Proceder à substituição, em até 24 horas a partir da comunicação, de materiais, ferramentas ou equipamentos julgados pela fiscalização da Contrat</w:t>
      </w:r>
      <w:r>
        <w:rPr>
          <w:rFonts w:ascii="Times New Roman" w:hAnsi="Times New Roman" w:cs="Times New Roman"/>
          <w:sz w:val="24"/>
          <w:szCs w:val="24"/>
        </w:rPr>
        <w:t xml:space="preserve">ante como inadequados para a execução dos serviços. 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9.19. Responder pelas despesas relativas a encargos trabalhistas, de seguro de acidentes, impostos, contribuições previdenciárias e quaisquer outras que forem devidas e referentes aos serviços executados por seus empregados, uma vez que os mesmos não têm n</w:t>
      </w:r>
      <w:r>
        <w:rPr>
          <w:rFonts w:ascii="Times New Roman" w:hAnsi="Times New Roman" w:cs="Times New Roman"/>
          <w:sz w:val="24"/>
          <w:szCs w:val="24"/>
        </w:rPr>
        <w:t xml:space="preserve">enhum vínculo empregatício com a Contratante. 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9.20. Responder, integralmente, por perdas e danos que vier a causar à contratante ou a terceiros em razão de ação ou omissão, dolosa ou culposa, sua ou dos seus prepostos, independentemente de outras cominaçõ</w:t>
      </w:r>
      <w:r>
        <w:rPr>
          <w:rFonts w:ascii="Times New Roman" w:hAnsi="Times New Roman" w:cs="Times New Roman"/>
          <w:sz w:val="24"/>
          <w:szCs w:val="24"/>
        </w:rPr>
        <w:t xml:space="preserve">es contratuais ou legais a que estiver sujeita. 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9.21. Providenciar para todos os seus funcionários o uso de EPI (equipamento de proteção individual). 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9.22. A Contratante não aceitará, sob nenhum pretexto, a transferência de responsabilidade da Contratada</w:t>
      </w:r>
      <w:r>
        <w:rPr>
          <w:rFonts w:ascii="Times New Roman" w:hAnsi="Times New Roman" w:cs="Times New Roman"/>
          <w:sz w:val="24"/>
          <w:szCs w:val="24"/>
        </w:rPr>
        <w:t xml:space="preserve"> para outras entidades, sejam fabricantes, técnicos ou quaisquer outros.</w:t>
      </w:r>
    </w:p>
    <w:p w:rsidR="00BD1656" w:rsidRDefault="00BD1656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656" w:rsidRDefault="00162BFB">
      <w:pPr>
        <w:spacing w:after="240" w:line="360" w:lineRule="auto"/>
        <w:ind w:leftChars="18" w:left="40"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DAS OBRIGAÇÕES DA CONTRATANTE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Dar condições para a contratada executar o objeto do contrato de acordo com os padrões estabelecidos. 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Exercer a fiscalização dos serviç</w:t>
      </w:r>
      <w:r>
        <w:rPr>
          <w:rFonts w:ascii="Times New Roman" w:hAnsi="Times New Roman" w:cs="Times New Roman"/>
          <w:sz w:val="24"/>
          <w:szCs w:val="24"/>
        </w:rPr>
        <w:t xml:space="preserve">os por meio de comissão permanentemente designada para este fim. 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Receber e conferir o objeto do contrato, consoante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disposições estabelecidas. 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Efetuar os pagamentos na forma acordada.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10.5. Permitir que os funcionários da CONTRATADA </w:t>
      </w:r>
      <w:proofErr w:type="gramStart"/>
      <w:r>
        <w:rPr>
          <w:rFonts w:ascii="Times New Roman" w:hAnsi="Times New Roman" w:cs="Times New Roman"/>
          <w:sz w:val="24"/>
          <w:szCs w:val="24"/>
        </w:rPr>
        <w:t>tenham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acesso aos locais de execução dos serviços. 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Notificar, por escrito, à contratada, a ocorrência de eventuais imperfeições no curso de execução dos serviços, fixando prazo para a sua correção, com total ônus à CONTRATADA. 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 Fornecer atestados de capacidade técnica quando solicitado, desde que atendidas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obrigações contratuais. </w:t>
      </w:r>
    </w:p>
    <w:p w:rsidR="00BD1656" w:rsidRDefault="00162BFB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10.8. Fornecer à CONTRATADA um jogo completo, plotado, dos Projetos Executivos e os respectivos arquivos eletrônicos para reprodução pela CONT</w:t>
      </w:r>
      <w:r>
        <w:rPr>
          <w:rFonts w:ascii="Times New Roman" w:hAnsi="Times New Roman" w:cs="Times New Roman"/>
          <w:sz w:val="24"/>
          <w:szCs w:val="24"/>
        </w:rPr>
        <w:t>RATADA, necessários ao cumprimento do objeto em questão.</w:t>
      </w:r>
    </w:p>
    <w:p w:rsidR="00BD1656" w:rsidRDefault="00BD1656">
      <w:pPr>
        <w:spacing w:after="0" w:line="360" w:lineRule="auto"/>
        <w:ind w:leftChars="18" w:left="40" w:right="-284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D1656" w:rsidRDefault="00162BFB">
      <w:pPr>
        <w:spacing w:after="240" w:line="360" w:lineRule="auto"/>
        <w:ind w:leftChars="18" w:left="40"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DAS SANÇÕES PARA O CASO DE INADIMPLEMENTO</w:t>
      </w:r>
    </w:p>
    <w:p w:rsidR="00BD1656" w:rsidRDefault="00162BFB">
      <w:pPr>
        <w:spacing w:line="360" w:lineRule="auto"/>
        <w:ind w:leftChars="18" w:left="40"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 Pela inexecução total ou parcial das obrigações assumidas, garantida a defesa prévia, a Administração poderá aplicar à Contratada, sanções prevista</w:t>
      </w:r>
      <w:r>
        <w:rPr>
          <w:rFonts w:ascii="Times New Roman" w:hAnsi="Times New Roman" w:cs="Times New Roman"/>
          <w:sz w:val="24"/>
          <w:szCs w:val="24"/>
        </w:rPr>
        <w:t>s nos artigos 86 a 88 da Lei n. 8.666/1993, e demais descritas no edital e seus anexos.</w:t>
      </w:r>
    </w:p>
    <w:p w:rsidR="00BD1656" w:rsidRDefault="00162BFB">
      <w:pPr>
        <w:spacing w:after="240" w:line="360" w:lineRule="auto"/>
        <w:ind w:leftChars="18" w:left="40"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DA FISCALIZAÇÃO</w:t>
      </w:r>
    </w:p>
    <w:p w:rsidR="00BD1656" w:rsidRDefault="00162BFB">
      <w:pPr>
        <w:spacing w:before="120" w:after="240" w:line="360" w:lineRule="auto"/>
        <w:ind w:leftChars="18" w:left="40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 O acompanhamento e a fiscalização da execução do presente contrato também serão exercidos pelo fiscal de contrato, ao qual competirá </w:t>
      </w:r>
      <w:proofErr w:type="gramStart"/>
      <w:r>
        <w:rPr>
          <w:rFonts w:ascii="Times New Roman" w:hAnsi="Times New Roman" w:cs="Times New Roman"/>
          <w:sz w:val="24"/>
          <w:szCs w:val="24"/>
        </w:rPr>
        <w:t>dirimir dú</w:t>
      </w:r>
      <w:r>
        <w:rPr>
          <w:rFonts w:ascii="Times New Roman" w:hAnsi="Times New Roman" w:cs="Times New Roman"/>
          <w:sz w:val="24"/>
          <w:szCs w:val="24"/>
        </w:rPr>
        <w:t>vidas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surjam no curso da prestação dos serviços.</w:t>
      </w:r>
    </w:p>
    <w:p w:rsidR="00BD1656" w:rsidRDefault="00162BFB">
      <w:pPr>
        <w:spacing w:after="240" w:line="360" w:lineRule="auto"/>
        <w:ind w:leftChars="18" w:left="40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 O fiscal de contratos anotará em registro próprio todas as ocorrências relacionadas com a execução do contrato, determinando o que for necessário à regularização das faltas ou defeitos observados.</w:t>
      </w:r>
    </w:p>
    <w:p w:rsidR="00BD1656" w:rsidRDefault="00162BFB">
      <w:pPr>
        <w:spacing w:after="240" w:line="360" w:lineRule="auto"/>
        <w:ind w:leftChars="18" w:left="40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2.3 As decisões e providências que ultrapassarem a sua competência deverão ser solicitadas a seus superiores em tempo hábil, para a adoção das medidas convenientes.</w:t>
      </w:r>
    </w:p>
    <w:p w:rsidR="00BD1656" w:rsidRDefault="00162BFB">
      <w:pPr>
        <w:pStyle w:val="TableParagraph"/>
        <w:spacing w:before="41" w:line="360" w:lineRule="auto"/>
        <w:ind w:leftChars="18"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 Para a </w:t>
      </w:r>
      <w:proofErr w:type="spellStart"/>
      <w:r>
        <w:rPr>
          <w:sz w:val="24"/>
          <w:szCs w:val="24"/>
        </w:rPr>
        <w:t>fiscalização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referida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contratação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fica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designado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servidor</w:t>
      </w:r>
      <w:proofErr w:type="spellEnd"/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  <w:lang w:val="pt-BR"/>
        </w:rPr>
        <w:t xml:space="preserve"> </w:t>
      </w:r>
      <w:r>
        <w:rPr>
          <w:b/>
          <w:bCs/>
          <w:sz w:val="24"/>
          <w:szCs w:val="24"/>
        </w:rPr>
        <w:t>DIEGO DE SOUZ</w:t>
      </w:r>
      <w:r>
        <w:rPr>
          <w:b/>
          <w:bCs/>
          <w:sz w:val="24"/>
          <w:szCs w:val="24"/>
        </w:rPr>
        <w:t>A ANTUNES</w:t>
      </w:r>
      <w:r>
        <w:rPr>
          <w:sz w:val="24"/>
          <w:szCs w:val="24"/>
          <w:lang w:val="pt-BR"/>
        </w:rPr>
        <w:t xml:space="preserve">, </w:t>
      </w:r>
      <w:proofErr w:type="spellStart"/>
      <w:r>
        <w:rPr>
          <w:sz w:val="24"/>
          <w:szCs w:val="24"/>
        </w:rPr>
        <w:t>Engenheiro</w:t>
      </w:r>
      <w:proofErr w:type="spellEnd"/>
      <w:r>
        <w:rPr>
          <w:sz w:val="24"/>
          <w:szCs w:val="24"/>
        </w:rPr>
        <w:t xml:space="preserve"> Civil CREA 64910/D-MS, </w:t>
      </w:r>
      <w:proofErr w:type="spellStart"/>
      <w:r>
        <w:rPr>
          <w:sz w:val="24"/>
          <w:szCs w:val="24"/>
        </w:rPr>
        <w:t>matrícula</w:t>
      </w:r>
      <w:proofErr w:type="spellEnd"/>
      <w:r>
        <w:rPr>
          <w:sz w:val="24"/>
          <w:szCs w:val="24"/>
        </w:rPr>
        <w:t xml:space="preserve"> 7908-1, para a </w:t>
      </w:r>
      <w:proofErr w:type="spellStart"/>
      <w:r>
        <w:rPr>
          <w:sz w:val="24"/>
          <w:szCs w:val="24"/>
        </w:rPr>
        <w:t>função</w:t>
      </w:r>
      <w:proofErr w:type="spellEnd"/>
      <w:r>
        <w:rPr>
          <w:sz w:val="24"/>
          <w:szCs w:val="24"/>
        </w:rPr>
        <w:t xml:space="preserve"> de Fiscal de </w:t>
      </w:r>
      <w:proofErr w:type="spellStart"/>
      <w:r>
        <w:rPr>
          <w:sz w:val="24"/>
          <w:szCs w:val="24"/>
        </w:rPr>
        <w:t>Contrato</w:t>
      </w:r>
      <w:proofErr w:type="spellEnd"/>
      <w:r>
        <w:rPr>
          <w:sz w:val="24"/>
          <w:szCs w:val="24"/>
        </w:rPr>
        <w:t xml:space="preserve"> Titular e o </w:t>
      </w:r>
      <w:proofErr w:type="spellStart"/>
      <w:r>
        <w:rPr>
          <w:sz w:val="24"/>
          <w:szCs w:val="24"/>
        </w:rPr>
        <w:t>servidor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GESSÉ DA SILVA ANDRADE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Engenheiro</w:t>
      </w:r>
      <w:proofErr w:type="spellEnd"/>
      <w:r>
        <w:rPr>
          <w:sz w:val="24"/>
          <w:szCs w:val="24"/>
        </w:rPr>
        <w:t xml:space="preserve"> Civil CREA 8424/D-MS, para a </w:t>
      </w:r>
      <w:proofErr w:type="spellStart"/>
      <w:r>
        <w:rPr>
          <w:sz w:val="24"/>
          <w:szCs w:val="24"/>
        </w:rPr>
        <w:t>função</w:t>
      </w:r>
      <w:proofErr w:type="spellEnd"/>
      <w:r>
        <w:rPr>
          <w:sz w:val="24"/>
          <w:szCs w:val="24"/>
        </w:rPr>
        <w:t xml:space="preserve"> de Fiscal de </w:t>
      </w:r>
      <w:proofErr w:type="spellStart"/>
      <w:r>
        <w:rPr>
          <w:sz w:val="24"/>
          <w:szCs w:val="24"/>
        </w:rPr>
        <w:t>Contrato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Suplente</w:t>
      </w:r>
      <w:proofErr w:type="spellEnd"/>
      <w:r>
        <w:rPr>
          <w:sz w:val="24"/>
          <w:szCs w:val="24"/>
        </w:rPr>
        <w:t>.</w:t>
      </w:r>
    </w:p>
    <w:p w:rsidR="00BD1656" w:rsidRDefault="00162BFB">
      <w:pPr>
        <w:spacing w:after="240" w:line="360" w:lineRule="auto"/>
        <w:ind w:leftChars="18" w:left="40"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13. DO REAJUSTE</w:t>
      </w:r>
    </w:p>
    <w:p w:rsidR="00BD1656" w:rsidRDefault="00162BFB">
      <w:pPr>
        <w:spacing w:after="240" w:line="360" w:lineRule="auto"/>
        <w:ind w:leftChars="18" w:left="40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O contrato </w:t>
      </w:r>
      <w:r>
        <w:rPr>
          <w:rFonts w:ascii="Times New Roman" w:hAnsi="Times New Roman" w:cs="Times New Roman"/>
          <w:sz w:val="24"/>
          <w:szCs w:val="24"/>
        </w:rPr>
        <w:t>poderá ser ajustado observando o interregno mínimo de 12 (doze) meses, contados da data da apresentação das propostas, nos termos da legislação em vigor, ressalvado o disposto no art. 65 da Lei 8.666/93, se for o caso de reajuste e/ou revisão.</w:t>
      </w:r>
    </w:p>
    <w:p w:rsidR="00BD1656" w:rsidRDefault="00162BFB">
      <w:pPr>
        <w:spacing w:after="240" w:line="360" w:lineRule="auto"/>
        <w:ind w:leftChars="18" w:left="40"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 DA RESCI</w:t>
      </w:r>
      <w:r>
        <w:rPr>
          <w:rFonts w:ascii="Times New Roman" w:hAnsi="Times New Roman" w:cs="Times New Roman"/>
          <w:b/>
          <w:bCs/>
          <w:sz w:val="24"/>
          <w:szCs w:val="24"/>
        </w:rPr>
        <w:t>SÃO</w:t>
      </w:r>
    </w:p>
    <w:p w:rsidR="00BD1656" w:rsidRDefault="00162BFB">
      <w:pPr>
        <w:pStyle w:val="P30"/>
        <w:snapToGrid/>
        <w:ind w:leftChars="18" w:left="40" w:right="-285"/>
        <w:rPr>
          <w:b w:val="0"/>
          <w:bCs/>
          <w:szCs w:val="24"/>
        </w:rPr>
      </w:pPr>
      <w:r>
        <w:rPr>
          <w:b w:val="0"/>
          <w:bCs/>
          <w:szCs w:val="24"/>
        </w:rPr>
        <w:t>14.1 A rescisão contratual pode ser operada, conforme disposições do art. 77 a 80 da Lei nº 8666/93 e alterações posteriores.</w:t>
      </w:r>
    </w:p>
    <w:p w:rsidR="00BD1656" w:rsidRDefault="00BD1656">
      <w:pPr>
        <w:pStyle w:val="P30"/>
        <w:snapToGrid/>
        <w:ind w:leftChars="18" w:left="40" w:right="-285"/>
        <w:rPr>
          <w:b w:val="0"/>
          <w:bCs/>
          <w:szCs w:val="24"/>
        </w:rPr>
      </w:pPr>
    </w:p>
    <w:p w:rsidR="00BD1656" w:rsidRDefault="00162BFB">
      <w:pPr>
        <w:pStyle w:val="P30"/>
        <w:snapToGrid/>
        <w:ind w:leftChars="18" w:left="40" w:right="-285"/>
        <w:rPr>
          <w:szCs w:val="24"/>
        </w:rPr>
      </w:pPr>
      <w:r>
        <w:rPr>
          <w:szCs w:val="24"/>
        </w:rPr>
        <w:t>15. DA VISITA TÉCNICA</w:t>
      </w:r>
    </w:p>
    <w:p w:rsidR="00BD1656" w:rsidRDefault="00162BFB">
      <w:pPr>
        <w:pStyle w:val="P30"/>
        <w:ind w:leftChars="18" w:left="40" w:right="-284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15.1.  Poderá o interessado realizar visita técnica para tomar conhecimento de todas as informações e </w:t>
      </w:r>
      <w:r>
        <w:rPr>
          <w:b w:val="0"/>
          <w:bCs/>
          <w:szCs w:val="24"/>
        </w:rPr>
        <w:t>das condições locais para o cumprimento das obrigações objeto deste Projeto.</w:t>
      </w:r>
    </w:p>
    <w:p w:rsidR="00BD1656" w:rsidRDefault="00162BFB">
      <w:pPr>
        <w:pStyle w:val="P30"/>
        <w:ind w:leftChars="18" w:left="40" w:right="-284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15.2. A visita deverá ser previamente agendada junto à </w:t>
      </w:r>
      <w:r>
        <w:rPr>
          <w:b w:val="0"/>
          <w:bCs/>
          <w:szCs w:val="24"/>
        </w:rPr>
        <w:t>Gerência</w:t>
      </w:r>
      <w:r>
        <w:rPr>
          <w:b w:val="0"/>
          <w:bCs/>
          <w:szCs w:val="24"/>
        </w:rPr>
        <w:t xml:space="preserve"> Municipal de Obras, no horário das 07h às 13h, através do telefone (67) 3409-1570 e/ou pelo e-mail planejamentoeges</w:t>
      </w:r>
      <w:r>
        <w:rPr>
          <w:b w:val="0"/>
          <w:bCs/>
          <w:szCs w:val="24"/>
        </w:rPr>
        <w:t>tao.navirai@gmail.com.</w:t>
      </w:r>
    </w:p>
    <w:p w:rsidR="00BD1656" w:rsidRDefault="00162BFB">
      <w:pPr>
        <w:pStyle w:val="P30"/>
        <w:snapToGrid/>
        <w:ind w:leftChars="18" w:left="40" w:right="-284"/>
        <w:rPr>
          <w:b w:val="0"/>
          <w:bCs/>
          <w:szCs w:val="24"/>
          <w:highlight w:val="yellow"/>
        </w:rPr>
      </w:pPr>
      <w:r>
        <w:rPr>
          <w:b w:val="0"/>
          <w:bCs/>
          <w:szCs w:val="24"/>
        </w:rPr>
        <w:t>15.3. A realização da vistoria não se consubstancia em condição para a participação na licitação, ficando, contudo, as licitantes cientes de que após apresentação dos orçamentos/propostas não serão admitidas, em hipótese alguma, aleg</w:t>
      </w:r>
      <w:r>
        <w:rPr>
          <w:b w:val="0"/>
          <w:bCs/>
          <w:szCs w:val="24"/>
        </w:rPr>
        <w:t>ações posteriores no sentido da inviabilidade de cumprir com as obrigações, face ao desconhecimento dos serviços e de dificuldades técnicas não previstas.</w:t>
      </w:r>
    </w:p>
    <w:p w:rsidR="00BD1656" w:rsidRDefault="00BD1656">
      <w:pPr>
        <w:spacing w:after="240" w:line="360" w:lineRule="auto"/>
        <w:ind w:leftChars="18" w:left="4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D1656" w:rsidRDefault="00162BFB">
      <w:pPr>
        <w:spacing w:after="240" w:line="360" w:lineRule="auto"/>
        <w:ind w:leftChars="18" w:left="40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Naviraí - MS, 14 de agosto de 2023.</w:t>
      </w:r>
    </w:p>
    <w:p w:rsidR="00BD1656" w:rsidRDefault="00BD1656">
      <w:pPr>
        <w:shd w:val="clear" w:color="auto" w:fill="FFFFFF"/>
        <w:spacing w:line="259" w:lineRule="auto"/>
        <w:ind w:leftChars="18" w:left="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BD1656" w:rsidRDefault="00BD1656">
      <w:pPr>
        <w:shd w:val="clear" w:color="auto" w:fill="FFFFFF"/>
        <w:spacing w:line="259" w:lineRule="auto"/>
        <w:ind w:leftChars="18" w:left="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656" w:rsidRDefault="00BD1656">
      <w:pPr>
        <w:shd w:val="clear" w:color="auto" w:fill="FFFFFF"/>
        <w:spacing w:line="259" w:lineRule="auto"/>
        <w:ind w:leftChars="18" w:left="4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D1656" w:rsidRDefault="00BD1656">
      <w:pPr>
        <w:shd w:val="clear" w:color="auto" w:fill="FFFFFF"/>
        <w:spacing w:line="259" w:lineRule="auto"/>
        <w:ind w:leftChars="18" w:left="40"/>
        <w:jc w:val="center"/>
        <w:textAlignment w:val="baseline"/>
        <w:rPr>
          <w:rFonts w:ascii="Times New Roman" w:hAnsi="Times New Roman" w:cs="Times New Roman"/>
          <w:sz w:val="24"/>
          <w:szCs w:val="24"/>
        </w:rPr>
        <w:sectPr w:rsidR="00BD1656">
          <w:headerReference w:type="default" r:id="rId8"/>
          <w:footerReference w:type="default" r:id="rId9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BD1656" w:rsidRDefault="00162BFB" w:rsidP="00162BFB">
      <w:pPr>
        <w:shd w:val="clear" w:color="auto" w:fill="FFFFFF"/>
        <w:spacing w:line="240" w:lineRule="auto"/>
        <w:ind w:leftChars="18" w:left="40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Flávia C. R.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Bressa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Pinheiro</w:t>
      </w:r>
      <w:proofErr w:type="gramEnd"/>
    </w:p>
    <w:p w:rsidR="00BD1656" w:rsidRDefault="00162BFB" w:rsidP="00162BFB">
      <w:pPr>
        <w:shd w:val="clear" w:color="auto" w:fill="FFFFFF"/>
        <w:spacing w:line="240" w:lineRule="auto"/>
        <w:ind w:leftChars="18" w:left="40"/>
        <w:contextualSpacing/>
        <w:jc w:val="center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Gerente de </w:t>
      </w:r>
      <w:r>
        <w:rPr>
          <w:rFonts w:ascii="Times New Roman" w:eastAsia="Calibri" w:hAnsi="Times New Roman" w:cs="Times New Roman"/>
          <w:bCs/>
          <w:sz w:val="24"/>
          <w:szCs w:val="24"/>
        </w:rPr>
        <w:t>Planej. e Gestão Pública</w:t>
      </w:r>
    </w:p>
    <w:p w:rsidR="00BD1656" w:rsidRDefault="00162BFB" w:rsidP="00162BFB">
      <w:pPr>
        <w:shd w:val="clear" w:color="auto" w:fill="FFFFFF"/>
        <w:spacing w:line="240" w:lineRule="auto"/>
        <w:ind w:leftChars="18" w:left="40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Fabiano Costa</w:t>
      </w:r>
    </w:p>
    <w:p w:rsidR="00BD1656" w:rsidRDefault="00162BFB" w:rsidP="00162BFB">
      <w:pPr>
        <w:shd w:val="clear" w:color="auto" w:fill="FFFFFF"/>
        <w:spacing w:line="240" w:lineRule="auto"/>
        <w:ind w:leftChars="18" w:left="40"/>
        <w:contextualSpacing/>
        <w:jc w:val="center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Gerente de Serviços Públicos</w:t>
      </w:r>
    </w:p>
    <w:p w:rsidR="00BD1656" w:rsidRDefault="00BD1656" w:rsidP="00162BFB">
      <w:pPr>
        <w:spacing w:after="240" w:line="240" w:lineRule="auto"/>
        <w:ind w:leftChars="18" w:left="40" w:right="-1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BD1656">
          <w:type w:val="continuous"/>
          <w:pgSz w:w="11906" w:h="16838"/>
          <w:pgMar w:top="1417" w:right="1701" w:bottom="1417" w:left="1701" w:header="708" w:footer="708" w:gutter="0"/>
          <w:cols w:num="2" w:space="720" w:equalWidth="0">
            <w:col w:w="4039" w:space="425"/>
            <w:col w:w="4039"/>
          </w:cols>
          <w:docGrid w:linePitch="360"/>
        </w:sectPr>
      </w:pPr>
    </w:p>
    <w:p w:rsidR="00BD1656" w:rsidRDefault="00BD1656">
      <w:pPr>
        <w:spacing w:after="240" w:line="360" w:lineRule="auto"/>
        <w:ind w:leftChars="18" w:left="40" w:right="-1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BD165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56" w:rsidRDefault="00162BFB">
      <w:pPr>
        <w:spacing w:line="240" w:lineRule="auto"/>
      </w:pPr>
      <w:r>
        <w:separator/>
      </w:r>
    </w:p>
  </w:endnote>
  <w:endnote w:type="continuationSeparator" w:id="0">
    <w:p w:rsidR="00BD1656" w:rsidRDefault="00162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56" w:rsidRDefault="00162BFB">
    <w:pPr>
      <w:pStyle w:val="Rodap"/>
      <w:jc w:val="center"/>
      <w:rPr>
        <w:rFonts w:ascii="Times New Roman" w:hAnsi="Times New Roman"/>
        <w:color w:val="A6A6A6" w:themeColor="background1" w:themeShade="A6"/>
        <w:sz w:val="20"/>
      </w:rPr>
    </w:pPr>
    <w:r>
      <w:rPr>
        <w:rFonts w:ascii="Times New Roman" w:hAnsi="Times New Roman"/>
        <w:color w:val="A6A6A6" w:themeColor="background1" w:themeShade="A6"/>
        <w:sz w:val="20"/>
      </w:rPr>
      <w:t xml:space="preserve">Avenida Weimar Gonçalves Torres, 862, Centro, </w:t>
    </w:r>
    <w:proofErr w:type="gramStart"/>
    <w:r>
      <w:rPr>
        <w:rFonts w:ascii="Times New Roman" w:hAnsi="Times New Roman"/>
        <w:color w:val="A6A6A6" w:themeColor="background1" w:themeShade="A6"/>
        <w:sz w:val="20"/>
      </w:rPr>
      <w:t>Naviraí-MS</w:t>
    </w:r>
    <w:proofErr w:type="gramEnd"/>
  </w:p>
  <w:p w:rsidR="00BD1656" w:rsidRDefault="00162BFB">
    <w:pPr>
      <w:pStyle w:val="Rodap"/>
      <w:jc w:val="center"/>
      <w:rPr>
        <w:color w:val="A6A6A6" w:themeColor="background1" w:themeShade="A6"/>
      </w:rPr>
    </w:pPr>
    <w:r>
      <w:rPr>
        <w:rFonts w:ascii="Times New Roman" w:hAnsi="Times New Roman"/>
        <w:color w:val="A6A6A6" w:themeColor="background1" w:themeShade="A6"/>
        <w:sz w:val="20"/>
      </w:rPr>
      <w:t>CEP: 79.950-000 / Fone: (67) 3409-1500 - www.navirai.ms.gov.br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56" w:rsidRDefault="00162BFB">
      <w:pPr>
        <w:spacing w:after="0"/>
      </w:pPr>
      <w:r>
        <w:separator/>
      </w:r>
    </w:p>
  </w:footnote>
  <w:footnote w:type="continuationSeparator" w:id="0">
    <w:p w:rsidR="00BD1656" w:rsidRDefault="00162B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56" w:rsidRDefault="00162BFB">
    <w:pPr>
      <w:pStyle w:val="Cabealho"/>
      <w:jc w:val="center"/>
      <w:rPr>
        <w:rFonts w:ascii="Arial" w:hAnsi="Arial" w:cs="Arial"/>
        <w:b/>
        <w:bCs/>
        <w:sz w:val="20"/>
      </w:rPr>
    </w:pPr>
    <w:bookmarkStart w:id="1" w:name="_Hlk69001838"/>
    <w:r>
      <w:rPr>
        <w:rFonts w:ascii="Arial" w:hAnsi="Arial" w:cs="Arial"/>
        <w:b/>
        <w:noProof/>
        <w:sz w:val="20"/>
        <w:lang w:eastAsia="pt-BR"/>
      </w:rPr>
      <w:drawing>
        <wp:inline distT="0" distB="0" distL="0" distR="0">
          <wp:extent cx="1062990" cy="967740"/>
          <wp:effectExtent l="0" t="0" r="3810" b="3810"/>
          <wp:docPr id="4" name="Imagem 4" descr="brasao-de-armas-navir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brasao-de-armas-navir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99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1656" w:rsidRDefault="00162BFB">
    <w:pPr>
      <w:pStyle w:val="Cabealho"/>
      <w:jc w:val="center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</w:rPr>
      <w:t>PREFEITURA MUNICIPAL DE NAVIRAÍ</w:t>
    </w:r>
  </w:p>
  <w:p w:rsidR="00BD1656" w:rsidRDefault="00162BFB">
    <w:pPr>
      <w:pStyle w:val="Cabealho"/>
      <w:jc w:val="center"/>
      <w:rPr>
        <w:b/>
        <w:bCs/>
      </w:rPr>
    </w:pPr>
    <w:r>
      <w:rPr>
        <w:rFonts w:ascii="Times New Roman" w:hAnsi="Times New Roman" w:cs="Times New Roman"/>
        <w:b/>
        <w:bCs/>
      </w:rPr>
      <w:t>ESTADO DE MATO GROSSO DO SUL</w:t>
    </w:r>
  </w:p>
  <w:bookmarkEnd w:id="1"/>
  <w:p w:rsidR="00BD1656" w:rsidRDefault="00BD16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633"/>
    <w:multiLevelType w:val="multilevel"/>
    <w:tmpl w:val="1354263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36281"/>
    <w:multiLevelType w:val="multilevel"/>
    <w:tmpl w:val="6CF3628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DC"/>
    <w:rsid w:val="0011081A"/>
    <w:rsid w:val="00162BFB"/>
    <w:rsid w:val="00186286"/>
    <w:rsid w:val="001A3FE2"/>
    <w:rsid w:val="002411BD"/>
    <w:rsid w:val="00246192"/>
    <w:rsid w:val="00291471"/>
    <w:rsid w:val="00351650"/>
    <w:rsid w:val="00434673"/>
    <w:rsid w:val="0058266F"/>
    <w:rsid w:val="00587A3A"/>
    <w:rsid w:val="00594DF4"/>
    <w:rsid w:val="00614078"/>
    <w:rsid w:val="006C40DF"/>
    <w:rsid w:val="006C430D"/>
    <w:rsid w:val="007024B1"/>
    <w:rsid w:val="00724341"/>
    <w:rsid w:val="007C3FA7"/>
    <w:rsid w:val="008239E5"/>
    <w:rsid w:val="008A0762"/>
    <w:rsid w:val="00985B0F"/>
    <w:rsid w:val="00A6629E"/>
    <w:rsid w:val="00A84726"/>
    <w:rsid w:val="00AB0230"/>
    <w:rsid w:val="00B01166"/>
    <w:rsid w:val="00B465E5"/>
    <w:rsid w:val="00BB6B9F"/>
    <w:rsid w:val="00BD1656"/>
    <w:rsid w:val="00BE6A14"/>
    <w:rsid w:val="00D2573F"/>
    <w:rsid w:val="00D85EB5"/>
    <w:rsid w:val="00DB0537"/>
    <w:rsid w:val="00DE5772"/>
    <w:rsid w:val="00E11546"/>
    <w:rsid w:val="00E55653"/>
    <w:rsid w:val="00F21A99"/>
    <w:rsid w:val="00F458DC"/>
    <w:rsid w:val="00F501E1"/>
    <w:rsid w:val="00F823C2"/>
    <w:rsid w:val="00FE4194"/>
    <w:rsid w:val="0C050679"/>
    <w:rsid w:val="27AD35E0"/>
    <w:rsid w:val="36033E76"/>
    <w:rsid w:val="711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PargrafodaLista">
    <w:name w:val="List Paragraph"/>
    <w:basedOn w:val="Normal"/>
    <w:link w:val="PargrafodaListaChar"/>
    <w:uiPriority w:val="34"/>
    <w:qFormat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RodapChar">
    <w:name w:val="Rodapé Char"/>
    <w:basedOn w:val="Fontepargpadro"/>
    <w:link w:val="Rodap"/>
    <w:qFormat/>
  </w:style>
  <w:style w:type="paragraph" w:customStyle="1" w:styleId="P30">
    <w:name w:val="P30"/>
    <w:basedOn w:val="Normal"/>
    <w:qFormat/>
    <w:p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rPr>
      <w:rFonts w:ascii="Arial" w:eastAsia="Times New Roman" w:hAnsi="Arial" w:cs="Tahoma"/>
      <w:sz w:val="20"/>
      <w:szCs w:val="24"/>
      <w:lang w:eastAsia="pt-BR"/>
    </w:rPr>
  </w:style>
  <w:style w:type="paragraph" w:customStyle="1" w:styleId="Normal1">
    <w:name w:val="Normal1"/>
    <w:qFormat/>
    <w:rPr>
      <w:rFonts w:ascii="Cambria" w:eastAsia="Cambria" w:hAnsi="Cambria" w:cs="Cambria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PargrafodaLista">
    <w:name w:val="List Paragraph"/>
    <w:basedOn w:val="Normal"/>
    <w:link w:val="PargrafodaListaChar"/>
    <w:uiPriority w:val="34"/>
    <w:qFormat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RodapChar">
    <w:name w:val="Rodapé Char"/>
    <w:basedOn w:val="Fontepargpadro"/>
    <w:link w:val="Rodap"/>
    <w:qFormat/>
  </w:style>
  <w:style w:type="paragraph" w:customStyle="1" w:styleId="P30">
    <w:name w:val="P30"/>
    <w:basedOn w:val="Normal"/>
    <w:qFormat/>
    <w:p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rPr>
      <w:rFonts w:ascii="Arial" w:eastAsia="Times New Roman" w:hAnsi="Arial" w:cs="Tahoma"/>
      <w:sz w:val="20"/>
      <w:szCs w:val="24"/>
      <w:lang w:eastAsia="pt-BR"/>
    </w:rPr>
  </w:style>
  <w:style w:type="paragraph" w:customStyle="1" w:styleId="Normal1">
    <w:name w:val="Normal1"/>
    <w:qFormat/>
    <w:rPr>
      <w:rFonts w:ascii="Cambria" w:eastAsia="Cambria" w:hAnsi="Cambria" w:cs="Cambria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3411</Words>
  <Characters>18423</Characters>
  <Application>Microsoft Office Word</Application>
  <DocSecurity>0</DocSecurity>
  <Lines>153</Lines>
  <Paragraphs>43</Paragraphs>
  <ScaleCrop>false</ScaleCrop>
  <Company/>
  <LinksUpToDate>false</LinksUpToDate>
  <CharactersWithSpaces>21791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Nathália Ferreira</dc:creator>
  <cp:lastModifiedBy>Usuario</cp:lastModifiedBy>
  <cp:revision>7</cp:revision>
  <dcterms:created xsi:type="dcterms:W3CDTF">2023-08-09T18:56:00Z</dcterms:created>
  <dcterms:modified xsi:type="dcterms:W3CDTF">2023-08-18T15:39:00Z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816B3F7363E54A23B6524FC834CB5BDA_12</vt:lpwstr>
  </property>
</Properties>
</file>