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40" w:line="480" w:lineRule="auto"/>
        <w:jc w:val="center"/>
        <w:rPr>
          <w:rFonts w:cs="Times New Roman"/>
          <w:b/>
          <w:bCs/>
          <w:sz w:val="28"/>
          <w:szCs w:val="28"/>
        </w:rPr>
      </w:pPr>
      <w:r>
        <w:rPr>
          <w:rFonts w:cs="Times New Roman"/>
          <w:b/>
          <w:bCs/>
          <w:sz w:val="28"/>
          <w:szCs w:val="28"/>
        </w:rPr>
        <w:t>ESTUDOS TÉCNICOS PRELIMINARES</w:t>
      </w:r>
    </w:p>
    <w:p>
      <w:pPr>
        <w:spacing w:before="40" w:after="40"/>
        <w:jc w:val="center"/>
        <w:rPr>
          <w:rFonts w:cs="Times New Roman"/>
          <w:b/>
          <w:bCs/>
          <w:szCs w:val="24"/>
        </w:rPr>
      </w:pPr>
    </w:p>
    <w:p>
      <w:pPr>
        <w:pStyle w:val="2"/>
        <w:numPr>
          <w:ilvl w:val="0"/>
          <w:numId w:val="1"/>
        </w:numPr>
        <w:spacing w:line="480" w:lineRule="auto"/>
        <w:ind w:left="284"/>
        <w:rPr>
          <w:rFonts w:cs="Times New Roman"/>
        </w:rPr>
      </w:pPr>
      <w:r>
        <w:rPr>
          <w:rFonts w:cs="Times New Roman"/>
        </w:rPr>
        <w:t>OBJETO DA CONTRATAÇÃO</w:t>
      </w:r>
    </w:p>
    <w:p>
      <w:pPr>
        <w:ind w:firstLine="709"/>
        <w:jc w:val="both"/>
        <w:rPr>
          <w:rFonts w:cs="Times New Roman"/>
          <w:bCs/>
          <w:szCs w:val="24"/>
        </w:rPr>
      </w:pPr>
      <w:r>
        <w:rPr>
          <w:rFonts w:cs="Times New Roman"/>
          <w:bCs/>
          <w:szCs w:val="24"/>
        </w:rPr>
        <w:t xml:space="preserve">Contratação de empresa especializada para </w:t>
      </w:r>
      <w:r>
        <w:rPr>
          <w:rFonts w:cs="Times New Roman"/>
          <w:b/>
          <w:bCs/>
          <w:szCs w:val="24"/>
        </w:rPr>
        <w:t>CONSTRUÇÃO ESF GRANDE PARAÍSO</w:t>
      </w:r>
      <w:r>
        <w:rPr>
          <w:rFonts w:cs="Times New Roman"/>
          <w:bCs/>
          <w:szCs w:val="24"/>
        </w:rPr>
        <w:t>, com fornecimento de material e mão de obra, em atendimento as necessidades da Prefeitura Municipal de Naviraí/MS.</w:t>
      </w:r>
    </w:p>
    <w:p>
      <w:pPr>
        <w:ind w:firstLine="709"/>
        <w:jc w:val="both"/>
        <w:rPr>
          <w:rFonts w:cs="Times New Roman"/>
          <w:bCs/>
          <w:szCs w:val="24"/>
        </w:rPr>
      </w:pPr>
    </w:p>
    <w:p>
      <w:pPr>
        <w:pStyle w:val="2"/>
        <w:numPr>
          <w:ilvl w:val="0"/>
          <w:numId w:val="1"/>
        </w:numPr>
        <w:spacing w:line="480" w:lineRule="auto"/>
        <w:ind w:left="284"/>
        <w:rPr>
          <w:rFonts w:cs="Times New Roman"/>
        </w:rPr>
      </w:pPr>
      <w:r>
        <w:rPr>
          <w:rFonts w:cs="Times New Roman"/>
        </w:rPr>
        <w:t>SUPORTE LEGAL</w:t>
      </w:r>
    </w:p>
    <w:p>
      <w:pPr>
        <w:pStyle w:val="10"/>
        <w:spacing w:after="0" w:line="360" w:lineRule="auto"/>
        <w:ind w:left="66" w:firstLine="642"/>
        <w:contextualSpacing/>
        <w:jc w:val="both"/>
        <w:rPr>
          <w:rFonts w:cs="Times New Roman"/>
          <w:b/>
          <w:szCs w:val="24"/>
        </w:rPr>
      </w:pPr>
      <w:r>
        <w:rPr>
          <w:rFonts w:cs="Times New Roman"/>
          <w:b/>
          <w:szCs w:val="24"/>
        </w:rPr>
        <w:t>O presente Estudo Técnico Preliminar reger-se-á pelas seguintes legislações:</w:t>
      </w:r>
    </w:p>
    <w:p>
      <w:pPr>
        <w:pStyle w:val="22"/>
        <w:numPr>
          <w:ilvl w:val="0"/>
          <w:numId w:val="2"/>
        </w:numPr>
        <w:spacing w:line="360" w:lineRule="auto"/>
        <w:ind w:left="714" w:hanging="357"/>
        <w:contextualSpacing/>
        <w:jc w:val="both"/>
        <w:rPr>
          <w:szCs w:val="24"/>
          <w:lang w:val="pt-BR"/>
        </w:rPr>
      </w:pPr>
      <w:r>
        <w:rPr>
          <w:szCs w:val="24"/>
          <w:lang w:val="pt-BR"/>
        </w:rPr>
        <w:t>Lei de Licitações nº 8.666/93 e suas alterações;</w:t>
      </w:r>
    </w:p>
    <w:p>
      <w:pPr>
        <w:pStyle w:val="22"/>
        <w:numPr>
          <w:ilvl w:val="0"/>
          <w:numId w:val="2"/>
        </w:numPr>
        <w:spacing w:line="360" w:lineRule="auto"/>
        <w:ind w:left="714" w:hanging="357"/>
        <w:contextualSpacing/>
        <w:jc w:val="both"/>
        <w:rPr>
          <w:szCs w:val="24"/>
          <w:lang w:val="pt-BR"/>
        </w:rPr>
      </w:pPr>
      <w:r>
        <w:rPr>
          <w:szCs w:val="24"/>
          <w:lang w:val="pt-BR"/>
        </w:rPr>
        <w:t>Resolução TCE/MS nº 88/2018 e alterações posteriores;</w:t>
      </w:r>
    </w:p>
    <w:p>
      <w:pPr>
        <w:pStyle w:val="22"/>
        <w:numPr>
          <w:ilvl w:val="0"/>
          <w:numId w:val="2"/>
        </w:numPr>
        <w:spacing w:line="360" w:lineRule="auto"/>
        <w:ind w:left="714" w:hanging="357"/>
        <w:contextualSpacing/>
        <w:jc w:val="both"/>
        <w:rPr>
          <w:szCs w:val="24"/>
          <w:lang w:val="pt-BR"/>
        </w:rPr>
      </w:pPr>
      <w:r>
        <w:rPr>
          <w:szCs w:val="24"/>
          <w:lang w:val="pt-BR"/>
        </w:rPr>
        <w:t>Normas preconizadas, conforme descrito no memorial descritivo.</w:t>
      </w:r>
    </w:p>
    <w:p>
      <w:pPr>
        <w:pStyle w:val="22"/>
        <w:ind w:left="360"/>
        <w:contextualSpacing/>
        <w:jc w:val="both"/>
        <w:rPr>
          <w:szCs w:val="24"/>
          <w:lang w:val="pt-BR"/>
        </w:rPr>
      </w:pPr>
    </w:p>
    <w:p>
      <w:pPr>
        <w:pStyle w:val="24"/>
        <w:jc w:val="both"/>
        <w:rPr>
          <w:rFonts w:ascii="Times New Roman" w:hAnsi="Times New Roman" w:cs="Times New Roman"/>
          <w:sz w:val="24"/>
        </w:rPr>
      </w:pPr>
    </w:p>
    <w:p>
      <w:pPr>
        <w:pStyle w:val="2"/>
        <w:numPr>
          <w:ilvl w:val="0"/>
          <w:numId w:val="1"/>
        </w:numPr>
        <w:spacing w:line="480" w:lineRule="auto"/>
        <w:ind w:left="284"/>
        <w:rPr>
          <w:rFonts w:cs="Times New Roman"/>
        </w:rPr>
      </w:pPr>
      <w:r>
        <w:rPr>
          <w:rFonts w:cs="Times New Roman"/>
        </w:rPr>
        <w:t xml:space="preserve">ANÁLISE DA CONTRATAÇÃO ANTERIOR </w:t>
      </w:r>
    </w:p>
    <w:p>
      <w:pPr>
        <w:ind w:firstLine="709"/>
        <w:rPr>
          <w:rFonts w:cs="Times New Roman"/>
          <w:szCs w:val="24"/>
          <w:lang w:eastAsia="pt-BR"/>
        </w:rPr>
      </w:pPr>
      <w:r>
        <w:rPr>
          <w:rFonts w:cs="Times New Roman"/>
          <w:szCs w:val="24"/>
          <w:lang w:eastAsia="pt-BR"/>
        </w:rPr>
        <w:t>Não se aplica.</w:t>
      </w:r>
    </w:p>
    <w:p>
      <w:pPr>
        <w:ind w:firstLine="709"/>
        <w:rPr>
          <w:rFonts w:cs="Times New Roman"/>
          <w:lang w:eastAsia="pt-BR"/>
        </w:rPr>
      </w:pPr>
    </w:p>
    <w:p>
      <w:pPr>
        <w:pStyle w:val="2"/>
        <w:numPr>
          <w:ilvl w:val="0"/>
          <w:numId w:val="1"/>
        </w:numPr>
        <w:spacing w:line="480" w:lineRule="auto"/>
        <w:ind w:left="284"/>
        <w:rPr>
          <w:rFonts w:cs="Times New Roman"/>
        </w:rPr>
      </w:pPr>
      <w:r>
        <w:rPr>
          <w:rFonts w:cs="Times New Roman"/>
        </w:rPr>
        <w:t>JUSTIFICATIVA DA NECESSIDADE DA CONTRATAÇÃO</w:t>
      </w:r>
    </w:p>
    <w:p>
      <w:pPr>
        <w:ind w:firstLine="709"/>
        <w:jc w:val="both"/>
        <w:rPr>
          <w:rFonts w:cs="Times New Roman"/>
        </w:rPr>
      </w:pPr>
      <w:r>
        <w:rPr>
          <w:rFonts w:cs="Times New Roman"/>
        </w:rPr>
        <w:t>A Estratégia Saúde da Família (ESF) visa à reorganização da atenção básica no País, de acordo com os preceitos do Sistema Único de Saúde, e é tida pelo Ministério da Saúde e gestores estaduais e municipais como estratégia de expansão, qualificação e consolidação da atenção básica por favorecer uma reorientação do processo de trabalho com maior potencial de aprofundar os princípios, diretrizes e fundamentos da atenção básica, de ampliar a resolutividade e impacto na situação de saúde das pessoas</w:t>
      </w:r>
      <w:r>
        <w:rPr>
          <w:rFonts w:cs="Times New Roman"/>
          <w:color w:val="555555"/>
          <w:shd w:val="clear" w:color="auto" w:fill="FFFFFF"/>
        </w:rPr>
        <w:t xml:space="preserve"> </w:t>
      </w:r>
      <w:r>
        <w:rPr>
          <w:rFonts w:cs="Times New Roman"/>
        </w:rPr>
        <w:t>e coletividades, além de propiciar uma importante relação custo-efetividade.</w:t>
      </w:r>
      <w:r>
        <w:rPr>
          <w:rStyle w:val="7"/>
          <w:rFonts w:cs="Times New Roman"/>
        </w:rPr>
        <w:footnoteReference w:id="0"/>
      </w:r>
    </w:p>
    <w:p>
      <w:pPr>
        <w:ind w:firstLine="709"/>
        <w:jc w:val="both"/>
        <w:rPr>
          <w:rFonts w:cs="Times New Roman"/>
          <w:lang w:eastAsia="pt-BR"/>
        </w:rPr>
      </w:pPr>
      <w:r>
        <w:rPr>
          <w:rFonts w:cs="Times New Roman"/>
          <w:lang w:eastAsia="pt-BR"/>
        </w:rPr>
        <w:t xml:space="preserve">Deste modo, a atual gestão se preocupa em proporcionar aos cidadãos usuários do Sistema de Saúde um atendimento igualitário, universal e digno. Conforme disposto na Carta Magna, </w:t>
      </w:r>
      <w:r>
        <w:rPr>
          <w:rFonts w:cs="Times New Roman"/>
          <w:i/>
          <w:iCs/>
          <w:lang w:eastAsia="pt-BR"/>
        </w:rPr>
        <w:t>in verbis:</w:t>
      </w:r>
    </w:p>
    <w:p>
      <w:pPr>
        <w:spacing w:line="240" w:lineRule="auto"/>
        <w:ind w:left="3402"/>
        <w:jc w:val="both"/>
        <w:rPr>
          <w:rFonts w:cs="Times New Roman"/>
          <w:i/>
          <w:iCs/>
          <w:lang w:eastAsia="pt-BR"/>
        </w:rPr>
      </w:pPr>
      <w:r>
        <w:rPr>
          <w:rFonts w:cs="Times New Roman"/>
          <w:i/>
          <w:iCs/>
          <w:color w:val="000000"/>
          <w:shd w:val="clear" w:color="auto" w:fill="FFFFFF"/>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pPr>
        <w:ind w:firstLine="709"/>
        <w:jc w:val="both"/>
        <w:rPr>
          <w:rFonts w:cs="Times New Roman"/>
          <w:lang w:eastAsia="pt-BR"/>
        </w:rPr>
      </w:pPr>
    </w:p>
    <w:p>
      <w:pPr>
        <w:ind w:firstLine="709"/>
        <w:jc w:val="both"/>
        <w:rPr>
          <w:rFonts w:cs="Times New Roman"/>
          <w:lang w:eastAsia="pt-BR"/>
        </w:rPr>
      </w:pPr>
      <w:r>
        <w:rPr>
          <w:rFonts w:cs="Times New Roman"/>
          <w:lang w:eastAsia="pt-BR"/>
        </w:rPr>
        <w:t>Atualmente, a área em que será construída a ESF, está sem abrangência de cuidados médicos, e os pacientes estão sendo atendidos no Centro de Saúde Dr. Antonini Pires de Souza, entretanto, os pacientes precisam se locomover pois o centro de atendimento atual é longe de suas residências.</w:t>
      </w:r>
    </w:p>
    <w:p>
      <w:pPr>
        <w:ind w:firstLine="709"/>
        <w:jc w:val="both"/>
        <w:rPr>
          <w:rFonts w:cs="Times New Roman"/>
          <w:lang w:eastAsia="pt-BR"/>
        </w:rPr>
      </w:pPr>
      <w:r>
        <w:rPr>
          <w:rFonts w:cs="Times New Roman"/>
          <w:lang w:eastAsia="pt-BR"/>
        </w:rPr>
        <w:t>Portanto, faz-se necessário a abertura de uma Estratégia de Saúde da Família na área de abrangência do Condomínio Nelson Trad, que dispõe de aproximadamente 4.000 habitantes, com intuito de ofertar ações de promoção, proteção, prevenção e recuperação de saúde daquela população.</w:t>
      </w:r>
    </w:p>
    <w:p>
      <w:pPr>
        <w:ind w:firstLine="709"/>
        <w:jc w:val="both"/>
        <w:rPr>
          <w:rFonts w:cs="Times New Roman"/>
        </w:rPr>
      </w:pPr>
    </w:p>
    <w:p>
      <w:pPr>
        <w:pStyle w:val="2"/>
        <w:numPr>
          <w:ilvl w:val="0"/>
          <w:numId w:val="1"/>
        </w:numPr>
        <w:spacing w:line="480" w:lineRule="auto"/>
        <w:ind w:left="284"/>
        <w:rPr>
          <w:rFonts w:cs="Times New Roman"/>
        </w:rPr>
      </w:pPr>
      <w:r>
        <w:rPr>
          <w:rFonts w:cs="Times New Roman"/>
        </w:rPr>
        <w:t>PLANEJAMENTO</w:t>
      </w:r>
    </w:p>
    <w:p>
      <w:pPr>
        <w:pStyle w:val="22"/>
        <w:spacing w:line="360" w:lineRule="auto"/>
        <w:ind w:left="0" w:right="-2" w:firstLine="709"/>
        <w:contextualSpacing/>
        <w:jc w:val="both"/>
        <w:rPr>
          <w:szCs w:val="24"/>
          <w:lang w:val="pt-BR"/>
        </w:rPr>
      </w:pPr>
      <w:r>
        <w:rPr>
          <w:szCs w:val="24"/>
          <w:lang w:val="pt-BR"/>
        </w:rPr>
        <w:t xml:space="preserve">As despesas decorrentes consecução do objeto contratual correrão à conta da seguinte dotação orçamentaria indicada pelo gestor, vigente no Município de Naviraí para o exercício corrente: </w:t>
      </w:r>
    </w:p>
    <w:p>
      <w:pPr>
        <w:numPr>
          <w:ilvl w:val="0"/>
          <w:numId w:val="3"/>
        </w:numPr>
        <w:tabs>
          <w:tab w:val="clear" w:pos="2476"/>
        </w:tabs>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sz w:val="24"/>
          <w:szCs w:val="24"/>
        </w:rPr>
        <w:t>Gerencia de Saúde, no valor de R$ 995.000,00.</w:t>
      </w:r>
    </w:p>
    <w:p>
      <w:pPr>
        <w:spacing w:line="360" w:lineRule="auto"/>
        <w:ind w:left="360" w:leftChars="0" w:hanging="360" w:hangingChars="150"/>
        <w:jc w:val="both"/>
        <w:rPr>
          <w:rFonts w:hint="default" w:ascii="Times New Roman" w:hAnsi="Times New Roman" w:cs="Times New Roman"/>
          <w:b/>
          <w:sz w:val="24"/>
          <w:szCs w:val="24"/>
        </w:rPr>
      </w:pPr>
      <w:r>
        <w:rPr>
          <w:rFonts w:hint="default" w:ascii="Times New Roman" w:hAnsi="Times New Roman" w:cs="Times New Roman"/>
          <w:b/>
          <w:sz w:val="24"/>
          <w:szCs w:val="24"/>
        </w:rPr>
        <w:t>Obras e Serviços</w:t>
      </w:r>
    </w:p>
    <w:p>
      <w:pPr>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b/>
          <w:sz w:val="24"/>
          <w:szCs w:val="24"/>
        </w:rPr>
        <w:t>Despesa:</w:t>
      </w:r>
      <w:r>
        <w:rPr>
          <w:rFonts w:hint="default" w:ascii="Times New Roman" w:hAnsi="Times New Roman" w:cs="Times New Roman"/>
          <w:sz w:val="24"/>
          <w:szCs w:val="24"/>
        </w:rPr>
        <w:t xml:space="preserve"> 5268;</w:t>
      </w:r>
    </w:p>
    <w:p>
      <w:pPr>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b/>
          <w:sz w:val="24"/>
          <w:szCs w:val="24"/>
        </w:rPr>
        <w:t>Fonte:</w:t>
      </w:r>
      <w:r>
        <w:rPr>
          <w:rFonts w:hint="default" w:ascii="Times New Roman" w:hAnsi="Times New Roman" w:cs="Times New Roman"/>
          <w:sz w:val="24"/>
          <w:szCs w:val="24"/>
        </w:rPr>
        <w:t xml:space="preserve"> 1500;</w:t>
      </w:r>
    </w:p>
    <w:p>
      <w:pPr>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b/>
          <w:sz w:val="24"/>
          <w:szCs w:val="24"/>
        </w:rPr>
        <w:t>Detalhamento da Fonte:</w:t>
      </w:r>
      <w:r>
        <w:rPr>
          <w:rFonts w:hint="default" w:ascii="Times New Roman" w:hAnsi="Times New Roman" w:cs="Times New Roman"/>
          <w:sz w:val="24"/>
          <w:szCs w:val="24"/>
        </w:rPr>
        <w:t xml:space="preserve"> FUS/APS;</w:t>
      </w:r>
    </w:p>
    <w:p>
      <w:pPr>
        <w:numPr>
          <w:ilvl w:val="0"/>
          <w:numId w:val="3"/>
        </w:numPr>
        <w:tabs>
          <w:tab w:val="clear" w:pos="2476"/>
        </w:tabs>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sz w:val="24"/>
          <w:szCs w:val="24"/>
        </w:rPr>
        <w:t>Gerencia de Saúde, no valor de R$ 750.621,88.</w:t>
      </w:r>
    </w:p>
    <w:p>
      <w:pPr>
        <w:spacing w:line="360" w:lineRule="auto"/>
        <w:ind w:left="360" w:leftChars="0" w:hanging="360" w:hangingChars="150"/>
        <w:jc w:val="both"/>
        <w:rPr>
          <w:rFonts w:hint="default" w:ascii="Times New Roman" w:hAnsi="Times New Roman" w:cs="Times New Roman"/>
          <w:b/>
          <w:sz w:val="24"/>
          <w:szCs w:val="24"/>
        </w:rPr>
      </w:pPr>
      <w:r>
        <w:rPr>
          <w:rFonts w:hint="default" w:ascii="Times New Roman" w:hAnsi="Times New Roman" w:cs="Times New Roman"/>
          <w:b/>
          <w:sz w:val="24"/>
          <w:szCs w:val="24"/>
        </w:rPr>
        <w:t>Obras e Serviços</w:t>
      </w:r>
    </w:p>
    <w:p>
      <w:pPr>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b/>
          <w:sz w:val="24"/>
          <w:szCs w:val="24"/>
        </w:rPr>
        <w:t>Despesa:</w:t>
      </w:r>
      <w:r>
        <w:rPr>
          <w:rFonts w:hint="default" w:ascii="Times New Roman" w:hAnsi="Times New Roman" w:cs="Times New Roman"/>
          <w:sz w:val="24"/>
          <w:szCs w:val="24"/>
        </w:rPr>
        <w:t xml:space="preserve"> 6220;</w:t>
      </w:r>
    </w:p>
    <w:p>
      <w:pPr>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b/>
          <w:sz w:val="24"/>
          <w:szCs w:val="24"/>
        </w:rPr>
        <w:t>Fonte:</w:t>
      </w:r>
      <w:r>
        <w:rPr>
          <w:rFonts w:hint="default" w:ascii="Times New Roman" w:hAnsi="Times New Roman" w:cs="Times New Roman"/>
          <w:sz w:val="24"/>
          <w:szCs w:val="24"/>
        </w:rPr>
        <w:t xml:space="preserve"> 1632;</w:t>
      </w:r>
    </w:p>
    <w:p>
      <w:pPr>
        <w:spacing w:line="360" w:lineRule="auto"/>
        <w:ind w:left="360" w:leftChars="0" w:hanging="360" w:hangingChars="150"/>
        <w:jc w:val="both"/>
        <w:rPr>
          <w:rFonts w:hint="default" w:ascii="Times New Roman" w:hAnsi="Times New Roman" w:cs="Times New Roman"/>
          <w:sz w:val="24"/>
          <w:szCs w:val="24"/>
        </w:rPr>
      </w:pPr>
      <w:r>
        <w:rPr>
          <w:rFonts w:hint="default" w:ascii="Times New Roman" w:hAnsi="Times New Roman" w:cs="Times New Roman"/>
          <w:b/>
          <w:sz w:val="24"/>
          <w:szCs w:val="24"/>
        </w:rPr>
        <w:t>Detalhamento da Fonte:</w:t>
      </w:r>
      <w:r>
        <w:rPr>
          <w:rFonts w:hint="default" w:ascii="Times New Roman" w:hAnsi="Times New Roman" w:cs="Times New Roman"/>
          <w:sz w:val="24"/>
          <w:szCs w:val="24"/>
        </w:rPr>
        <w:t xml:space="preserve"> ESTADO/APS;</w:t>
      </w:r>
    </w:p>
    <w:p>
      <w:pPr>
        <w:pStyle w:val="22"/>
        <w:spacing w:line="360" w:lineRule="auto"/>
        <w:ind w:left="0" w:leftChars="0" w:right="-2" w:firstLine="0" w:firstLineChars="0"/>
        <w:contextualSpacing/>
        <w:jc w:val="both"/>
        <w:rPr>
          <w:szCs w:val="24"/>
          <w:lang w:val="pt-BR"/>
        </w:rPr>
      </w:pPr>
    </w:p>
    <w:p>
      <w:pPr>
        <w:pStyle w:val="22"/>
        <w:ind w:left="0" w:right="-2" w:firstLine="709"/>
        <w:contextualSpacing/>
        <w:jc w:val="both"/>
        <w:rPr>
          <w:szCs w:val="24"/>
          <w:lang w:val="pt-BR"/>
        </w:rPr>
      </w:pPr>
    </w:p>
    <w:p>
      <w:pPr>
        <w:pStyle w:val="2"/>
        <w:numPr>
          <w:ilvl w:val="0"/>
          <w:numId w:val="1"/>
        </w:numPr>
        <w:spacing w:line="480" w:lineRule="auto"/>
        <w:ind w:left="284" w:hanging="284"/>
        <w:rPr>
          <w:rFonts w:cs="Times New Roman"/>
        </w:rPr>
      </w:pPr>
      <w:r>
        <w:rPr>
          <w:rFonts w:cs="Times New Roman"/>
        </w:rPr>
        <w:t>REQUISITOS DA CONTRATAÇÃO</w:t>
      </w:r>
    </w:p>
    <w:p>
      <w:pPr>
        <w:pStyle w:val="22"/>
        <w:spacing w:line="480" w:lineRule="auto"/>
        <w:ind w:left="0"/>
        <w:jc w:val="both"/>
        <w:rPr>
          <w:b/>
          <w:szCs w:val="24"/>
          <w:lang w:val="pt-BR"/>
        </w:rPr>
      </w:pPr>
      <w:r>
        <w:rPr>
          <w:b/>
          <w:szCs w:val="24"/>
          <w:lang w:val="pt-BR"/>
        </w:rPr>
        <w:t>Recomenda-se como requisitos da contratação:</w:t>
      </w:r>
    </w:p>
    <w:p>
      <w:pPr>
        <w:pStyle w:val="24"/>
        <w:numPr>
          <w:ilvl w:val="0"/>
          <w:numId w:val="4"/>
        </w:numPr>
        <w:autoSpaceDE w:val="0"/>
        <w:autoSpaceDN w:val="0"/>
        <w:adjustRightInd w:val="0"/>
        <w:spacing w:line="360" w:lineRule="auto"/>
        <w:ind w:left="0" w:firstLine="0"/>
        <w:jc w:val="both"/>
        <w:rPr>
          <w:rFonts w:ascii="Times New Roman" w:hAnsi="Times New Roman" w:cs="Times New Roman"/>
          <w:sz w:val="24"/>
        </w:rPr>
      </w:pPr>
      <w:r>
        <w:rPr>
          <w:rFonts w:ascii="Times New Roman" w:hAnsi="Times New Roman" w:cs="Times New Roman"/>
          <w:sz w:val="24"/>
        </w:rPr>
        <w:t>Apresentação de Certidão de Registro e Quitação da empresa e do responsável técnico junto ao Conselho Regional de Engenharia e Agronomia – CREA ou no Conselho Regional de Arquitetura CAU, dentro do prazo de vigência;</w:t>
      </w:r>
    </w:p>
    <w:p>
      <w:pPr>
        <w:autoSpaceDE w:val="0"/>
        <w:autoSpaceDN w:val="0"/>
        <w:adjustRightInd w:val="0"/>
        <w:contextualSpacing/>
        <w:jc w:val="both"/>
        <w:rPr>
          <w:rFonts w:cs="Times New Roman"/>
          <w:szCs w:val="24"/>
          <w:lang w:eastAsia="pt-BR"/>
        </w:rPr>
      </w:pPr>
      <w:r>
        <w:rPr>
          <w:rFonts w:cs="Times New Roman"/>
          <w:szCs w:val="24"/>
          <w:lang w:eastAsia="pt-BR"/>
        </w:rPr>
        <w:t>Atestado fornecido por Pessoa Jurídica de Direito Público ou Privado, com a(s)</w:t>
      </w:r>
    </w:p>
    <w:p>
      <w:pPr>
        <w:autoSpaceDE w:val="0"/>
        <w:autoSpaceDN w:val="0"/>
        <w:adjustRightInd w:val="0"/>
        <w:contextualSpacing/>
        <w:jc w:val="both"/>
        <w:rPr>
          <w:rFonts w:cs="Times New Roman"/>
          <w:szCs w:val="24"/>
          <w:lang w:eastAsia="pt-BR"/>
        </w:rPr>
      </w:pPr>
      <w:r>
        <w:rPr>
          <w:rFonts w:cs="Times New Roman"/>
          <w:szCs w:val="24"/>
          <w:lang w:eastAsia="pt-BR"/>
        </w:rPr>
        <w:t>planilha(s) de serviço(s) devidamente registrado no CREA ou CAU, acompanhado da Certidão de Acervo Técnico (CAT) comprovando que o seu responsável (eis) técnico (s), já executou (aram) obras ou serviços compatíveis com os itens, relativos à parcela de maior relevância do objeto da licitação, que é:</w:t>
      </w:r>
    </w:p>
    <w:p>
      <w:pPr>
        <w:autoSpaceDE w:val="0"/>
        <w:autoSpaceDN w:val="0"/>
        <w:adjustRightInd w:val="0"/>
        <w:spacing w:line="240" w:lineRule="auto"/>
        <w:rPr>
          <w:rFonts w:ascii="Times-Roman" w:hAnsi="Times-Roman" w:cs="Times-Roman"/>
          <w:szCs w:val="24"/>
          <w:lang w:eastAsia="pt-BR"/>
        </w:rPr>
      </w:pPr>
    </w:p>
    <w:p>
      <w:pPr>
        <w:autoSpaceDE w:val="0"/>
        <w:autoSpaceDN w:val="0"/>
        <w:adjustRightInd w:val="0"/>
        <w:spacing w:line="240" w:lineRule="auto"/>
        <w:jc w:val="center"/>
        <w:rPr>
          <w:rFonts w:ascii="Times-Roman" w:hAnsi="Times-Roman" w:cs="Times-Roman"/>
          <w:szCs w:val="24"/>
          <w:lang w:eastAsia="pt-BR"/>
        </w:rPr>
      </w:pPr>
      <w:r>
        <w:rPr>
          <w:rFonts w:ascii="Times-Roman" w:hAnsi="Times-Roman" w:cs="Times-Roman"/>
          <w:szCs w:val="24"/>
          <w:lang w:eastAsia="pt-BR"/>
        </w:rPr>
        <w:drawing>
          <wp:inline distT="0" distB="0" distL="0" distR="0">
            <wp:extent cx="4286250" cy="35839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8"/>
                    <a:stretch>
                      <a:fillRect/>
                    </a:stretch>
                  </pic:blipFill>
                  <pic:spPr>
                    <a:xfrm>
                      <a:off x="0" y="0"/>
                      <a:ext cx="4288445" cy="3585835"/>
                    </a:xfrm>
                    <a:prstGeom prst="rect">
                      <a:avLst/>
                    </a:prstGeom>
                  </pic:spPr>
                </pic:pic>
              </a:graphicData>
            </a:graphic>
          </wp:inline>
        </w:drawing>
      </w:r>
    </w:p>
    <w:p>
      <w:pPr>
        <w:autoSpaceDE w:val="0"/>
        <w:autoSpaceDN w:val="0"/>
        <w:adjustRightInd w:val="0"/>
        <w:spacing w:line="240" w:lineRule="auto"/>
        <w:rPr>
          <w:rFonts w:ascii="Times-Roman" w:hAnsi="Times-Roman" w:cs="Times-Roman"/>
          <w:szCs w:val="24"/>
          <w:lang w:eastAsia="pt-BR"/>
        </w:rPr>
      </w:pPr>
    </w:p>
    <w:p>
      <w:pPr>
        <w:pStyle w:val="24"/>
        <w:numPr>
          <w:ilvl w:val="0"/>
          <w:numId w:val="4"/>
        </w:numPr>
        <w:autoSpaceDE w:val="0"/>
        <w:autoSpaceDN w:val="0"/>
        <w:adjustRightInd w:val="0"/>
        <w:spacing w:line="360" w:lineRule="auto"/>
        <w:ind w:left="0" w:firstLine="360"/>
        <w:jc w:val="both"/>
        <w:rPr>
          <w:rFonts w:ascii="Times New Roman" w:hAnsi="Times New Roman" w:cs="Times New Roman"/>
          <w:bCs/>
          <w:sz w:val="24"/>
        </w:rPr>
      </w:pPr>
      <w:r>
        <w:rPr>
          <w:rFonts w:ascii="Times New Roman" w:hAnsi="Times New Roman" w:cs="Times New Roman"/>
          <w:sz w:val="24"/>
        </w:rPr>
        <w:t>Somente será (ão) aceito(s) atestado(s) fornecido por pessoas jurídicas de direito público ou privado, devidamente certificados pelo CREA ou CAU da região onde foram executados os serviços;</w:t>
      </w:r>
    </w:p>
    <w:p>
      <w:pPr>
        <w:pStyle w:val="24"/>
        <w:numPr>
          <w:ilvl w:val="0"/>
          <w:numId w:val="4"/>
        </w:numPr>
        <w:autoSpaceDE w:val="0"/>
        <w:autoSpaceDN w:val="0"/>
        <w:adjustRightInd w:val="0"/>
        <w:ind w:left="0" w:firstLine="360"/>
        <w:jc w:val="both"/>
        <w:rPr>
          <w:rFonts w:ascii="Times New Roman" w:hAnsi="Times New Roman" w:cs="Times New Roman"/>
          <w:sz w:val="24"/>
        </w:rPr>
      </w:pPr>
      <w:r>
        <w:rPr>
          <w:rFonts w:ascii="Times New Roman" w:hAnsi="Times New Roman" w:cs="Times New Roman"/>
          <w:sz w:val="24"/>
        </w:rPr>
        <w:t>Atestados que tenha responsável técnico por supervisão, coordenação, fiscalização, preposto, não serão considerados no cumprimento da exigência deste subitem.</w:t>
      </w:r>
    </w:p>
    <w:p>
      <w:pPr>
        <w:pStyle w:val="24"/>
        <w:numPr>
          <w:ilvl w:val="0"/>
          <w:numId w:val="4"/>
        </w:num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A comprovação do vínculo empregatício do (s) profissional (s) detentor (es) de</w:t>
      </w:r>
    </w:p>
    <w:p>
      <w:pPr>
        <w:autoSpaceDE w:val="0"/>
        <w:autoSpaceDN w:val="0"/>
        <w:adjustRightInd w:val="0"/>
        <w:contextualSpacing/>
        <w:jc w:val="both"/>
        <w:rPr>
          <w:rFonts w:cs="Times New Roman"/>
          <w:color w:val="000000" w:themeColor="text1"/>
          <w:szCs w:val="24"/>
          <w14:textFill>
            <w14:solidFill>
              <w14:schemeClr w14:val="tx1"/>
            </w14:solidFill>
          </w14:textFill>
        </w:rPr>
      </w:pPr>
      <w:r>
        <w:rPr>
          <w:rFonts w:cs="Times New Roman"/>
          <w:szCs w:val="24"/>
          <w:lang w:eastAsia="pt-BR"/>
        </w:rPr>
        <w:t>atestado (s) técnicos (s) apresentado (s) com a empresa LICITANTE, deverá ser feita mediante apresentação da carteira profissional, onde consta o nome do profissional (s); ou contrato de prestação de serviço mantido entre as partes, registrado no CREA ou CAU; no caso de sócio ou diretor a comprovação será feita através do Estatuto ou Contrato Social.</w:t>
      </w:r>
    </w:p>
    <w:p>
      <w:pPr>
        <w:spacing w:line="240" w:lineRule="auto"/>
        <w:jc w:val="both"/>
        <w:rPr>
          <w:rFonts w:cs="Times New Roman"/>
          <w:strike/>
          <w:color w:val="000000" w:themeColor="text1"/>
          <w:szCs w:val="24"/>
          <w14:textFill>
            <w14:solidFill>
              <w14:schemeClr w14:val="tx1"/>
            </w14:solidFill>
          </w14:textFill>
        </w:rPr>
      </w:pPr>
    </w:p>
    <w:p>
      <w:pPr>
        <w:pStyle w:val="2"/>
        <w:numPr>
          <w:ilvl w:val="0"/>
          <w:numId w:val="1"/>
        </w:numPr>
        <w:spacing w:line="480" w:lineRule="auto"/>
        <w:ind w:left="284"/>
        <w:rPr>
          <w:rFonts w:cs="Times New Roman"/>
        </w:rPr>
      </w:pPr>
      <w:r>
        <w:rPr>
          <w:rFonts w:cs="Times New Roman"/>
        </w:rPr>
        <w:t>ESTIMATIVA DAS QUANTIDADES E VALORES REFERENCIAIS</w:t>
      </w:r>
    </w:p>
    <w:p>
      <w:pPr>
        <w:pStyle w:val="22"/>
        <w:spacing w:before="41" w:line="360" w:lineRule="auto"/>
        <w:ind w:firstLine="606"/>
        <w:jc w:val="both"/>
        <w:rPr>
          <w:lang w:val="pt-BR"/>
        </w:rPr>
      </w:pPr>
      <w:r>
        <w:rPr>
          <w:b/>
          <w:bCs/>
          <w:lang w:val="pt-BR"/>
        </w:rPr>
        <w:t>Os quantitativos e valores referenciais foram extraídos da planilha orçamentária, elaborada pelo setor competente</w:t>
      </w:r>
      <w:r>
        <w:rPr>
          <w:lang w:val="pt-BR"/>
        </w:rPr>
        <w:t>, a qual se encontra acostada a este Estudo Técnico Preliminar – anexo II.</w:t>
      </w:r>
    </w:p>
    <w:p>
      <w:pPr>
        <w:pStyle w:val="22"/>
        <w:spacing w:before="41" w:line="360" w:lineRule="auto"/>
        <w:ind w:firstLine="606"/>
        <w:jc w:val="both"/>
        <w:rPr>
          <w:szCs w:val="24"/>
        </w:rPr>
      </w:pPr>
      <w:r>
        <w:rPr>
          <w:szCs w:val="24"/>
        </w:rPr>
        <w:t>Destarte, foi estimado o montane de</w:t>
      </w:r>
      <w:r>
        <w:t xml:space="preserve"> </w:t>
      </w:r>
      <w:r>
        <w:rPr>
          <w:b/>
          <w:bCs/>
        </w:rPr>
        <w:t xml:space="preserve">R$ 1.745.621,88 </w:t>
      </w:r>
      <w:r>
        <w:rPr>
          <w:color w:val="000000"/>
          <w:szCs w:val="24"/>
        </w:rPr>
        <w:t xml:space="preserve">(Um milhão, </w:t>
      </w:r>
      <w:r>
        <w:rPr>
          <w:color w:val="000000"/>
          <w:szCs w:val="24"/>
          <w:lang w:val="pt-BR"/>
        </w:rPr>
        <w:t>setecentos</w:t>
      </w:r>
      <w:r>
        <w:rPr>
          <w:color w:val="000000"/>
          <w:szCs w:val="24"/>
        </w:rPr>
        <w:t xml:space="preserve"> e quarenta e cinco mil, seiscentos e vinte e um reais e oitenta e oito centavos)</w:t>
      </w:r>
      <w:r>
        <w:rPr>
          <w:szCs w:val="24"/>
        </w:rPr>
        <w:t xml:space="preserve">, onde possui como referência a </w:t>
      </w:r>
      <w:r>
        <w:t>AGESUL(JANEIRO/2023) SINAPI (ABRIL/2023) SBC (ABRIL/2023), composições de preços.</w:t>
      </w:r>
    </w:p>
    <w:p>
      <w:pPr>
        <w:ind w:firstLine="709"/>
        <w:jc w:val="both"/>
        <w:rPr>
          <w:rFonts w:cs="Times New Roman"/>
          <w:szCs w:val="24"/>
        </w:rPr>
      </w:pPr>
      <w:r>
        <w:rPr>
          <w:rFonts w:cs="Times New Roman"/>
          <w:szCs w:val="24"/>
        </w:rPr>
        <w:t>Insta salientar, que a planilha orçamentária, bem como as memorias de cálculos e todo aparato utilizado para obter-se essa mensuração, encontra-se anexa a este Estudo Técnico Preliminar.</w:t>
      </w:r>
    </w:p>
    <w:p>
      <w:pPr>
        <w:ind w:firstLine="709"/>
        <w:jc w:val="both"/>
        <w:rPr>
          <w:rFonts w:cs="Times New Roman"/>
          <w:szCs w:val="24"/>
        </w:rPr>
      </w:pPr>
    </w:p>
    <w:p>
      <w:pPr>
        <w:pStyle w:val="2"/>
        <w:numPr>
          <w:ilvl w:val="0"/>
          <w:numId w:val="1"/>
        </w:numPr>
        <w:spacing w:line="480" w:lineRule="auto"/>
        <w:ind w:left="284"/>
        <w:rPr>
          <w:rFonts w:cs="Times New Roman"/>
        </w:rPr>
      </w:pPr>
      <w:r>
        <w:rPr>
          <w:rFonts w:cs="Times New Roman"/>
        </w:rPr>
        <w:t>JUSTIFICATIVA DA ESCOLHA DO TIPO E SOLUÇÃO A CONTRATAR</w:t>
      </w:r>
    </w:p>
    <w:p>
      <w:pPr>
        <w:ind w:firstLine="709"/>
        <w:jc w:val="both"/>
        <w:rPr>
          <w:rFonts w:cs="Times New Roman"/>
          <w:lang w:eastAsia="pt-BR"/>
        </w:rPr>
      </w:pPr>
      <w:r>
        <w:rPr>
          <w:rFonts w:cs="Times New Roman"/>
          <w:lang w:eastAsia="pt-BR"/>
        </w:rPr>
        <w:t xml:space="preserve">Para a suprir as demandas da secretaria </w:t>
      </w:r>
      <w:r>
        <w:rPr>
          <w:rFonts w:cs="Times New Roman"/>
          <w:b/>
          <w:bCs/>
          <w:lang w:eastAsia="pt-BR"/>
        </w:rPr>
        <w:t>não há outra solução que não seja a contratação de empresa especializada</w:t>
      </w:r>
      <w:r>
        <w:rPr>
          <w:rFonts w:cs="Times New Roman"/>
          <w:lang w:eastAsia="pt-BR"/>
        </w:rPr>
        <w:t xml:space="preserve"> para </w:t>
      </w:r>
      <w:r>
        <w:rPr>
          <w:rFonts w:cs="Times New Roman"/>
        </w:rPr>
        <w:t>CONSTRUÇÃO ESF GRANDE PARAÍSO</w:t>
      </w:r>
      <w:r>
        <w:rPr>
          <w:rFonts w:cs="Times New Roman"/>
          <w:bCs/>
          <w:szCs w:val="24"/>
        </w:rPr>
        <w:t>, com fornecimento de material e mão de obra. Visto que, a Prefeitura Municipal de Naviraí, não dispõe de equipamentos nem de mão de obra qualificada diante da complexibilidade da obra em tela, observando os princípios da vantajosidade e economicidade.</w:t>
      </w:r>
    </w:p>
    <w:p>
      <w:pPr>
        <w:ind w:firstLine="709"/>
        <w:jc w:val="both"/>
        <w:rPr>
          <w:rFonts w:cs="Times New Roman"/>
          <w:lang w:eastAsia="pt-BR"/>
        </w:rPr>
      </w:pPr>
    </w:p>
    <w:p>
      <w:pPr>
        <w:pStyle w:val="2"/>
        <w:numPr>
          <w:ilvl w:val="0"/>
          <w:numId w:val="1"/>
        </w:numPr>
        <w:spacing w:line="480" w:lineRule="auto"/>
        <w:ind w:left="284"/>
        <w:rPr>
          <w:rFonts w:cs="Times New Roman"/>
        </w:rPr>
      </w:pPr>
      <w:r>
        <w:rPr>
          <w:rFonts w:cs="Times New Roman"/>
        </w:rPr>
        <w:t>MODALIDE DE LICITAÇÃO A SER ADOTADA</w:t>
      </w:r>
    </w:p>
    <w:p>
      <w:pPr>
        <w:ind w:firstLine="709"/>
        <w:jc w:val="both"/>
        <w:rPr>
          <w:rFonts w:cs="Times New Roman"/>
        </w:rPr>
      </w:pPr>
      <w:bookmarkStart w:id="0" w:name="_Hlk89627845"/>
      <w:r>
        <w:rPr>
          <w:rFonts w:cs="Times New Roman"/>
        </w:rPr>
        <w:t>Consoante a Lei de Licitações, a modalidade adotada para realização do procedimento licitatório, deve ser a Tomada de Preços:</w:t>
      </w:r>
    </w:p>
    <w:p>
      <w:pPr>
        <w:spacing w:line="240" w:lineRule="auto"/>
        <w:ind w:left="3402"/>
        <w:jc w:val="both"/>
        <w:rPr>
          <w:rFonts w:cs="Times New Roman"/>
          <w:i/>
          <w:iCs/>
          <w:sz w:val="22"/>
        </w:rPr>
      </w:pPr>
      <w:r>
        <w:rPr>
          <w:rFonts w:cs="Times New Roman"/>
          <w:i/>
          <w:iCs/>
          <w:sz w:val="22"/>
        </w:rPr>
        <w:t>Art. 22: São modalidades de licitação:</w:t>
      </w:r>
    </w:p>
    <w:p>
      <w:pPr>
        <w:spacing w:line="240" w:lineRule="auto"/>
        <w:ind w:left="3402"/>
        <w:jc w:val="both"/>
        <w:rPr>
          <w:rFonts w:cs="Times New Roman"/>
          <w:i/>
          <w:iCs/>
          <w:sz w:val="22"/>
        </w:rPr>
      </w:pPr>
      <w:r>
        <w:rPr>
          <w:rFonts w:cs="Times New Roman"/>
          <w:i/>
          <w:iCs/>
          <w:sz w:val="22"/>
        </w:rPr>
        <w:t xml:space="preserve">II - Tomada de Preços </w:t>
      </w:r>
    </w:p>
    <w:p>
      <w:pPr>
        <w:spacing w:line="240" w:lineRule="auto"/>
        <w:ind w:left="3402"/>
        <w:jc w:val="both"/>
        <w:rPr>
          <w:rFonts w:cs="Times New Roman"/>
          <w:i/>
          <w:iCs/>
          <w:sz w:val="22"/>
        </w:rPr>
      </w:pPr>
      <w:r>
        <w:rPr>
          <w:rFonts w:cs="Times New Roman"/>
          <w:i/>
          <w:iCs/>
          <w:sz w:val="22"/>
        </w:rPr>
        <w:t xml:space="preserve">§ 2° - Tomada de Preços é a modalidade de licitação entre interessados devidamente cadastrados ou que atenderem a todas as condições exigidas para cadastramento até o terceiro dia anterior à data do recebimento das propostas, observada a necessária qualificação. </w:t>
      </w:r>
    </w:p>
    <w:p>
      <w:pPr>
        <w:ind w:firstLine="709"/>
        <w:jc w:val="both"/>
        <w:rPr>
          <w:rFonts w:cs="Times New Roman"/>
        </w:rPr>
      </w:pPr>
    </w:p>
    <w:p>
      <w:pPr>
        <w:ind w:firstLine="709"/>
        <w:jc w:val="both"/>
        <w:rPr>
          <w:rFonts w:cs="Times New Roman"/>
          <w:i/>
          <w:iCs/>
        </w:rPr>
      </w:pPr>
      <w:r>
        <w:rPr>
          <w:rFonts w:cs="Times New Roman"/>
        </w:rPr>
        <w:t xml:space="preserve">Conforme preceitua Hely Lopes Meirelles - </w:t>
      </w:r>
      <w:r>
        <w:rPr>
          <w:rFonts w:cs="Times New Roman"/>
          <w:i/>
          <w:iCs/>
        </w:rPr>
        <w:t>Tomada de Preços é a licitação para contratos de valor inferior ao estabelecido para a concorrência, realizada entre interessados previamente cadastrados, observada a necessária qualificação (art. 22 § 2º). A qualificação é a que constar do cadastro, por categoria, tendo em vista a especialização, e por grupos, de acordo com a capacidade técnica e financeira dos inscrito (art. 34 a 37) (MEIRELLES, Hely Lopes. Licitação e Contrato Administrativo. 14 ed. São Paulo: Malheiros, 2006, p. 97).</w:t>
      </w:r>
    </w:p>
    <w:p>
      <w:pPr>
        <w:ind w:firstLine="709"/>
        <w:jc w:val="both"/>
        <w:rPr>
          <w:rFonts w:cs="Times New Roman"/>
        </w:rPr>
      </w:pPr>
      <w:r>
        <w:rPr>
          <w:rFonts w:cs="Times New Roman"/>
        </w:rPr>
        <w:t>O Decreto 9.412/18 atualizou os valores da modalidade supramencionada, com a atualização dos limites, os incisos I e II, do artigo 23, da Lei Geral de Licitações, passam a ter valores estimados mais condizentes com a realidade das licitações. Observa-se que a referida modalidade licitatória é utilizada para a realização de obras e serviços de engenharia cujo teto corresponda ao valor de R$ 3.300.000,00 (três milhões e trezentos mil reais) e para compras e serviços até o limite de R$ 1.430.000,00 (um milhão, quatrocentos e trinta mil reais), vejamos:</w:t>
      </w:r>
    </w:p>
    <w:p>
      <w:pPr>
        <w:ind w:firstLine="709"/>
        <w:jc w:val="both"/>
        <w:rPr>
          <w:rFonts w:cs="Times New Roman"/>
        </w:rPr>
      </w:pPr>
    </w:p>
    <w:p>
      <w:pPr>
        <w:spacing w:line="240" w:lineRule="auto"/>
        <w:ind w:left="3402"/>
        <w:jc w:val="both"/>
        <w:rPr>
          <w:rFonts w:cs="Times New Roman"/>
          <w:i/>
          <w:iCs/>
          <w:sz w:val="22"/>
        </w:rPr>
      </w:pPr>
      <w:r>
        <w:rPr>
          <w:rFonts w:cs="Times New Roman"/>
          <w:i/>
          <w:iCs/>
          <w:sz w:val="22"/>
        </w:rPr>
        <w:t xml:space="preserve">Art. 23. As modalidades de licitação a que se referem os incisos I a III do artigo anterior serão determinadas em função dos seguintes limites, tendo em vista o valor estimado da contratação: </w:t>
      </w:r>
    </w:p>
    <w:p>
      <w:pPr>
        <w:spacing w:line="240" w:lineRule="auto"/>
        <w:ind w:left="3402"/>
        <w:jc w:val="both"/>
        <w:rPr>
          <w:rFonts w:cs="Times New Roman"/>
          <w:i/>
          <w:iCs/>
          <w:sz w:val="22"/>
        </w:rPr>
      </w:pPr>
      <w:r>
        <w:rPr>
          <w:rFonts w:cs="Times New Roman"/>
          <w:i/>
          <w:iCs/>
          <w:sz w:val="22"/>
        </w:rPr>
        <w:t xml:space="preserve">I - para obras e serviços de engenharia: </w:t>
      </w:r>
    </w:p>
    <w:p>
      <w:pPr>
        <w:spacing w:line="240" w:lineRule="auto"/>
        <w:ind w:left="3402"/>
        <w:jc w:val="both"/>
        <w:rPr>
          <w:rFonts w:cs="Times New Roman"/>
          <w:i/>
          <w:iCs/>
          <w:sz w:val="22"/>
        </w:rPr>
      </w:pPr>
      <w:r>
        <w:rPr>
          <w:rFonts w:cs="Times New Roman"/>
          <w:i/>
          <w:iCs/>
          <w:sz w:val="22"/>
        </w:rPr>
        <w:t xml:space="preserve">b) tomada de preços - até R$ 3.300.000,00 (três milhões e trezentos mil reais). </w:t>
      </w:r>
    </w:p>
    <w:p>
      <w:pPr>
        <w:ind w:firstLine="709"/>
        <w:jc w:val="both"/>
        <w:rPr>
          <w:rFonts w:cs="Times New Roman"/>
        </w:rPr>
      </w:pPr>
    </w:p>
    <w:p>
      <w:pPr>
        <w:ind w:firstLine="709"/>
        <w:jc w:val="both"/>
        <w:rPr>
          <w:rFonts w:cs="Times New Roman"/>
        </w:rPr>
      </w:pPr>
      <w:r>
        <w:rPr>
          <w:rFonts w:cs="Times New Roman"/>
        </w:rPr>
        <w:t xml:space="preserve">O valor estimado da contratação é de </w:t>
      </w:r>
      <w:r>
        <w:rPr>
          <w:rFonts w:cs="Times New Roman"/>
          <w:b/>
          <w:bCs/>
        </w:rPr>
        <w:t xml:space="preserve">R$ 1.745.621,88 </w:t>
      </w:r>
      <w:r>
        <w:rPr>
          <w:rFonts w:cs="Times New Roman"/>
          <w:color w:val="000000"/>
          <w:szCs w:val="24"/>
        </w:rPr>
        <w:t>(Um milhão, setencentos e quarenta e cinco mil, seiscentos e vinte e um reais e oitenta e oito centavos)</w:t>
      </w:r>
      <w:r>
        <w:rPr>
          <w:rFonts w:cs="Times New Roman"/>
          <w:szCs w:val="24"/>
        </w:rPr>
        <w:t>,</w:t>
      </w:r>
      <w:r>
        <w:rPr>
          <w:rFonts w:cs="Times New Roman"/>
        </w:rPr>
        <w:t xml:space="preserve"> portanto, a modalidade Tomada de Preços poderá ser utilizada.</w:t>
      </w:r>
    </w:p>
    <w:p>
      <w:pPr>
        <w:ind w:firstLine="709"/>
        <w:jc w:val="both"/>
        <w:rPr>
          <w:rFonts w:cs="Times New Roman"/>
          <w:lang w:eastAsia="pt-BR"/>
        </w:rPr>
      </w:pPr>
    </w:p>
    <w:p>
      <w:pPr>
        <w:spacing w:line="240" w:lineRule="auto"/>
        <w:ind w:left="2977"/>
        <w:jc w:val="both"/>
        <w:rPr>
          <w:rFonts w:cs="Times New Roman"/>
          <w:color w:val="000000"/>
          <w:sz w:val="20"/>
          <w:szCs w:val="20"/>
          <w:shd w:val="clear" w:color="auto" w:fill="FFFFFF"/>
        </w:rPr>
      </w:pPr>
    </w:p>
    <w:p>
      <w:pPr>
        <w:spacing w:line="240" w:lineRule="auto"/>
        <w:ind w:left="2977"/>
        <w:jc w:val="both"/>
        <w:rPr>
          <w:rFonts w:cs="Times New Roman"/>
          <w:color w:val="000000"/>
          <w:sz w:val="20"/>
          <w:szCs w:val="20"/>
          <w:shd w:val="clear" w:color="auto" w:fill="FFFFFF"/>
        </w:rPr>
      </w:pPr>
    </w:p>
    <w:bookmarkEnd w:id="0"/>
    <w:p>
      <w:pPr>
        <w:pStyle w:val="2"/>
        <w:spacing w:line="480" w:lineRule="auto"/>
        <w:ind w:left="-76"/>
        <w:rPr>
          <w:rFonts w:cs="Times New Roman"/>
        </w:rPr>
      </w:pPr>
      <w:r>
        <w:rPr>
          <w:rFonts w:cs="Times New Roman"/>
        </w:rPr>
        <w:t>10. DESCRIÇÃO DETALHADA DO PRODUTO OU SERVIÇO</w:t>
      </w:r>
    </w:p>
    <w:p>
      <w:pPr>
        <w:pStyle w:val="25"/>
        <w:spacing w:line="360" w:lineRule="auto"/>
        <w:ind w:firstLine="709"/>
        <w:jc w:val="both"/>
      </w:pPr>
      <w:r>
        <w:t xml:space="preserve">De acordo com o memorial descritivo, as obras ocorreram nas seguintes localidades: </w:t>
      </w:r>
    </w:p>
    <w:p>
      <w:pPr>
        <w:pStyle w:val="25"/>
        <w:spacing w:line="360" w:lineRule="auto"/>
        <w:jc w:val="both"/>
      </w:pPr>
      <w:r>
        <w:drawing>
          <wp:anchor distT="0" distB="0" distL="114300" distR="114300" simplePos="0" relativeHeight="251659264" behindDoc="0" locked="0" layoutInCell="1" allowOverlap="1">
            <wp:simplePos x="0" y="0"/>
            <wp:positionH relativeFrom="margin">
              <wp:posOffset>529590</wp:posOffset>
            </wp:positionH>
            <wp:positionV relativeFrom="paragraph">
              <wp:posOffset>53975</wp:posOffset>
            </wp:positionV>
            <wp:extent cx="4448175" cy="4038600"/>
            <wp:effectExtent l="0" t="0" r="9525" b="0"/>
            <wp:wrapThrough wrapText="bothSides">
              <wp:wrapPolygon>
                <wp:start x="0" y="0"/>
                <wp:lineTo x="0" y="21498"/>
                <wp:lineTo x="21554" y="21498"/>
                <wp:lineTo x="21554"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48175" cy="4038600"/>
                    </a:xfrm>
                    <a:prstGeom prst="rect">
                      <a:avLst/>
                    </a:prstGeom>
                    <a:noFill/>
                    <a:ln>
                      <a:noFill/>
                    </a:ln>
                  </pic:spPr>
                </pic:pic>
              </a:graphicData>
            </a:graphic>
          </wp:anchor>
        </w:drawing>
      </w:r>
    </w:p>
    <w:p>
      <w:pPr>
        <w:pStyle w:val="25"/>
        <w:spacing w:line="360" w:lineRule="auto"/>
        <w:ind w:firstLine="851"/>
        <w:jc w:val="both"/>
      </w:pPr>
    </w:p>
    <w:p>
      <w:pPr>
        <w:pStyle w:val="25"/>
        <w:spacing w:line="360" w:lineRule="auto"/>
        <w:ind w:firstLine="851"/>
        <w:jc w:val="both"/>
      </w:pPr>
      <w:r>
        <w:t>Todo o material empregado na obra deverá receber aprovação da fiscalização antes de ser utilizado. No caso de o construtor substituir materiais ou serviços que constam nesta especificação, deverá apresentar memorial descritivo, memorial justificativo para sua utilização e a composição orçamentária completa, que permita comparação com materiais e/ ou serviços semelhantes. Os serviços e materiais serão executados em conformidade com as Técnicas da Associação Brasileira de Normas Técnicas- ABNT.</w:t>
      </w:r>
    </w:p>
    <w:p>
      <w:pPr>
        <w:ind w:firstLine="851"/>
        <w:jc w:val="both"/>
        <w:rPr>
          <w:rFonts w:cs="Times New Roman"/>
          <w:bCs/>
          <w:szCs w:val="24"/>
        </w:rPr>
      </w:pPr>
      <w:r>
        <w:rPr>
          <w:rFonts w:cs="Times New Roman"/>
        </w:rPr>
        <w:t>Todas as etapas da referida obra deverão obedecer às especificações técnicas contidas nos memoriais descritivos e Cronograma Físico / Financeiro</w:t>
      </w:r>
      <w:r>
        <w:rPr>
          <w:rFonts w:cs="Times New Roman"/>
          <w:bCs/>
          <w:szCs w:val="24"/>
        </w:rPr>
        <w:t>.</w:t>
      </w:r>
    </w:p>
    <w:p>
      <w:pPr>
        <w:ind w:firstLine="851"/>
        <w:jc w:val="both"/>
        <w:rPr>
          <w:rFonts w:cs="Times New Roman"/>
        </w:rPr>
      </w:pPr>
      <w:r>
        <w:rPr>
          <w:rFonts w:cs="Times New Roman"/>
        </w:rPr>
        <w:t>Por fim, salienta-se que todos os documentos referentes à execução do objeto vieram anexos ao Documento de Formalização de Demanda e estão dispostos no ANEXOS I, II, III e IV.</w:t>
      </w:r>
    </w:p>
    <w:p>
      <w:pPr>
        <w:jc w:val="both"/>
        <w:rPr>
          <w:rFonts w:cs="Times New Roman"/>
        </w:rPr>
      </w:pPr>
    </w:p>
    <w:p>
      <w:pPr>
        <w:spacing w:line="480" w:lineRule="auto"/>
        <w:rPr>
          <w:rFonts w:cs="Times New Roman"/>
          <w:b/>
        </w:rPr>
      </w:pPr>
      <w:r>
        <w:rPr>
          <w:rFonts w:cs="Times New Roman"/>
          <w:b/>
        </w:rPr>
        <w:t>11. BENEFÍCIOS DIRETOS E INDIRETOS DA CONTRATAÇÃO</w:t>
      </w:r>
    </w:p>
    <w:p>
      <w:pPr>
        <w:pStyle w:val="22"/>
        <w:numPr>
          <w:ilvl w:val="0"/>
          <w:numId w:val="5"/>
        </w:numPr>
        <w:spacing w:before="41" w:line="276" w:lineRule="auto"/>
        <w:ind w:left="709"/>
        <w:jc w:val="both"/>
        <w:rPr>
          <w:b/>
          <w:szCs w:val="24"/>
          <w:lang w:val="pt-BR"/>
        </w:rPr>
      </w:pPr>
      <w:r>
        <w:rPr>
          <w:szCs w:val="24"/>
          <w:lang w:val="pt-BR"/>
        </w:rPr>
        <w:t>Aprimoramento da saúde municipal;</w:t>
      </w:r>
    </w:p>
    <w:p>
      <w:pPr>
        <w:pStyle w:val="22"/>
        <w:numPr>
          <w:ilvl w:val="0"/>
          <w:numId w:val="5"/>
        </w:numPr>
        <w:spacing w:before="41" w:line="276" w:lineRule="auto"/>
        <w:ind w:left="709"/>
        <w:jc w:val="both"/>
        <w:rPr>
          <w:b/>
          <w:szCs w:val="24"/>
          <w:lang w:val="pt-BR"/>
        </w:rPr>
      </w:pPr>
      <w:r>
        <w:rPr>
          <w:szCs w:val="24"/>
          <w:lang w:val="pt-BR"/>
        </w:rPr>
        <w:t>Atendimento igualitário;</w:t>
      </w:r>
    </w:p>
    <w:p>
      <w:pPr>
        <w:pStyle w:val="22"/>
        <w:numPr>
          <w:ilvl w:val="0"/>
          <w:numId w:val="5"/>
        </w:numPr>
        <w:spacing w:before="41" w:line="276" w:lineRule="auto"/>
        <w:ind w:left="709"/>
        <w:jc w:val="both"/>
        <w:rPr>
          <w:b/>
          <w:szCs w:val="24"/>
          <w:lang w:val="pt-BR"/>
        </w:rPr>
      </w:pPr>
      <w:r>
        <w:rPr>
          <w:szCs w:val="24"/>
          <w:lang w:val="pt-BR"/>
        </w:rPr>
        <w:t>Promoção da saúde.</w:t>
      </w:r>
    </w:p>
    <w:p>
      <w:pPr>
        <w:pStyle w:val="22"/>
        <w:spacing w:before="41" w:line="276" w:lineRule="auto"/>
        <w:ind w:left="709"/>
        <w:jc w:val="both"/>
        <w:rPr>
          <w:szCs w:val="24"/>
          <w:lang w:val="pt-BR"/>
        </w:rPr>
      </w:pPr>
    </w:p>
    <w:p>
      <w:pPr>
        <w:pStyle w:val="2"/>
        <w:spacing w:line="480" w:lineRule="auto"/>
        <w:rPr>
          <w:rFonts w:cs="Times New Roman"/>
        </w:rPr>
      </w:pPr>
      <w:r>
        <w:rPr>
          <w:rFonts w:cs="Times New Roman"/>
        </w:rPr>
        <w:t xml:space="preserve">12. PROVIDÊNCIAS PARA A ADEQUAÇÃO DO AMBIENTE DO ÓRGÃO </w:t>
      </w:r>
    </w:p>
    <w:p>
      <w:pPr>
        <w:pStyle w:val="22"/>
        <w:spacing w:after="240" w:line="360" w:lineRule="auto"/>
        <w:ind w:left="0" w:firstLine="709"/>
        <w:contextualSpacing/>
        <w:jc w:val="both"/>
        <w:rPr>
          <w:szCs w:val="24"/>
          <w:lang w:val="pt-BR"/>
        </w:rPr>
      </w:pPr>
      <w:r>
        <w:rPr>
          <w:szCs w:val="24"/>
          <w:lang w:val="pt-BR"/>
        </w:rPr>
        <w:t>Não se aplica.</w:t>
      </w:r>
    </w:p>
    <w:p>
      <w:pPr>
        <w:pStyle w:val="22"/>
        <w:spacing w:line="360" w:lineRule="auto"/>
        <w:ind w:left="0" w:firstLine="709"/>
        <w:contextualSpacing/>
        <w:jc w:val="both"/>
        <w:rPr>
          <w:szCs w:val="24"/>
          <w:lang w:val="pt-BR"/>
        </w:rPr>
      </w:pPr>
    </w:p>
    <w:p>
      <w:pPr>
        <w:pStyle w:val="2"/>
        <w:spacing w:line="480" w:lineRule="auto"/>
        <w:rPr>
          <w:rFonts w:cs="Times New Roman"/>
        </w:rPr>
      </w:pPr>
      <w:r>
        <w:rPr>
          <w:rFonts w:cs="Times New Roman"/>
        </w:rPr>
        <w:t xml:space="preserve">13. VIABILIDADE DA CONTRATAÇÃO </w:t>
      </w:r>
    </w:p>
    <w:p>
      <w:pPr>
        <w:ind w:firstLine="709"/>
        <w:jc w:val="both"/>
        <w:rPr>
          <w:rFonts w:cs="Times New Roman"/>
          <w:b/>
          <w:szCs w:val="24"/>
          <w:u w:val="single"/>
        </w:rPr>
      </w:pPr>
      <w:r>
        <w:rPr>
          <w:rFonts w:cs="Times New Roman"/>
          <w:szCs w:val="24"/>
        </w:rPr>
        <w:t xml:space="preserve">Devido à necessidade evidente demonstrada pelo objeto pretendido neste estudo e, após analisar as informações apresentadas pelo setor demandante, consideramos </w:t>
      </w:r>
      <w:r>
        <w:rPr>
          <w:rFonts w:cs="Times New Roman"/>
          <w:b/>
          <w:szCs w:val="24"/>
          <w:u w:val="single"/>
        </w:rPr>
        <w:t>viável</w:t>
      </w:r>
      <w:r>
        <w:rPr>
          <w:rFonts w:cs="Times New Roman"/>
        </w:rPr>
        <w:t xml:space="preserve"> a contratação em epígrafe, </w:t>
      </w:r>
      <w:r>
        <w:rPr>
          <w:rFonts w:cs="Times New Roman"/>
          <w:b/>
          <w:szCs w:val="24"/>
          <w:u w:val="single"/>
        </w:rPr>
        <w:t>seguindo as orientações técnicas contidas neste estudo.</w:t>
      </w:r>
    </w:p>
    <w:p>
      <w:pPr>
        <w:ind w:firstLine="709"/>
        <w:jc w:val="both"/>
        <w:rPr>
          <w:rFonts w:cs="Times New Roman"/>
          <w:bCs/>
          <w:szCs w:val="24"/>
        </w:rPr>
      </w:pPr>
    </w:p>
    <w:p>
      <w:pPr>
        <w:pStyle w:val="2"/>
        <w:spacing w:line="480" w:lineRule="auto"/>
        <w:rPr>
          <w:rFonts w:cs="Times New Roman"/>
        </w:rPr>
      </w:pPr>
      <w:r>
        <w:rPr>
          <w:rFonts w:cs="Times New Roman"/>
        </w:rPr>
        <w:t xml:space="preserve">14. FISCALIZAÇÃO DO CONTRATO </w:t>
      </w:r>
    </w:p>
    <w:p>
      <w:pPr>
        <w:pStyle w:val="22"/>
        <w:spacing w:line="360" w:lineRule="auto"/>
        <w:ind w:left="0" w:firstLine="709"/>
        <w:jc w:val="both"/>
        <w:rPr>
          <w:szCs w:val="24"/>
          <w:lang w:val="pt-BR"/>
        </w:rPr>
      </w:pPr>
      <w:r>
        <w:rPr>
          <w:szCs w:val="24"/>
          <w:lang w:val="pt-BR"/>
        </w:rPr>
        <w:t xml:space="preserve">O fiscal do contrato é o representante da Administração, especialmente designado nas formas do art. 67 e 73, da Lei nº 8.666, de 1993,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w:t>
      </w:r>
    </w:p>
    <w:p>
      <w:pPr>
        <w:widowControl w:val="0"/>
        <w:autoSpaceDE w:val="0"/>
        <w:autoSpaceDN w:val="0"/>
        <w:ind w:firstLine="603"/>
        <w:contextualSpacing/>
        <w:jc w:val="both"/>
        <w:rPr>
          <w:rFonts w:eastAsia="Times New Roman" w:cs="Times New Roman"/>
          <w:szCs w:val="24"/>
        </w:rPr>
      </w:pPr>
      <w:r>
        <w:rPr>
          <w:rFonts w:eastAsia="Times New Roman" w:cs="Times New Roman"/>
          <w:szCs w:val="24"/>
        </w:rPr>
        <w:t xml:space="preserve">Será designado como Fiscal de contrato para a licitação pretendida, o servidor </w:t>
      </w:r>
      <w:r>
        <w:rPr>
          <w:rFonts w:eastAsia="Times New Roman" w:cs="Times New Roman"/>
          <w:b/>
          <w:bCs/>
          <w:szCs w:val="24"/>
        </w:rPr>
        <w:t>Diego de Souza Antunes</w:t>
      </w:r>
      <w:r>
        <w:rPr>
          <w:rFonts w:eastAsia="Times New Roman" w:cs="Times New Roman"/>
          <w:szCs w:val="24"/>
        </w:rPr>
        <w:t xml:space="preserve">, matrícula 7908-1, como Fiscal Titular e o servidor, </w:t>
      </w:r>
      <w:r>
        <w:rPr>
          <w:rFonts w:eastAsia="Times New Roman" w:cs="Times New Roman"/>
          <w:b/>
          <w:bCs/>
          <w:szCs w:val="24"/>
        </w:rPr>
        <w:t>Gessé da Silva Andrade</w:t>
      </w:r>
      <w:r>
        <w:rPr>
          <w:rFonts w:eastAsia="Times New Roman" w:cs="Times New Roman"/>
          <w:szCs w:val="24"/>
        </w:rPr>
        <w:t>, matricula 2829-0, como Fiscal Suplente.</w:t>
      </w:r>
    </w:p>
    <w:p>
      <w:pPr>
        <w:widowControl w:val="0"/>
        <w:autoSpaceDE w:val="0"/>
        <w:autoSpaceDN w:val="0"/>
        <w:ind w:firstLine="603"/>
        <w:contextualSpacing/>
        <w:jc w:val="both"/>
        <w:rPr>
          <w:rFonts w:eastAsia="Times New Roman" w:cs="Times New Roman"/>
          <w:szCs w:val="24"/>
        </w:rPr>
      </w:pPr>
    </w:p>
    <w:p>
      <w:pPr>
        <w:widowControl w:val="0"/>
        <w:autoSpaceDE w:val="0"/>
        <w:autoSpaceDN w:val="0"/>
        <w:ind w:firstLine="603"/>
        <w:contextualSpacing/>
        <w:jc w:val="both"/>
        <w:rPr>
          <w:rFonts w:eastAsia="Times New Roman" w:cs="Times New Roman"/>
          <w:szCs w:val="24"/>
        </w:rPr>
      </w:pPr>
    </w:p>
    <w:p>
      <w:pPr>
        <w:pStyle w:val="22"/>
        <w:spacing w:before="41"/>
        <w:ind w:left="105"/>
        <w:jc w:val="right"/>
        <w:rPr>
          <w:szCs w:val="24"/>
          <w:lang w:val="pt-BR"/>
        </w:rPr>
      </w:pPr>
    </w:p>
    <w:p>
      <w:pPr>
        <w:pStyle w:val="22"/>
        <w:spacing w:before="41"/>
        <w:ind w:left="105"/>
        <w:jc w:val="right"/>
        <w:rPr>
          <w:szCs w:val="24"/>
          <w:lang w:val="pt-BR"/>
        </w:rPr>
      </w:pPr>
    </w:p>
    <w:p>
      <w:pPr>
        <w:pStyle w:val="22"/>
        <w:spacing w:before="41"/>
        <w:ind w:left="105"/>
        <w:jc w:val="right"/>
        <w:rPr>
          <w:szCs w:val="24"/>
          <w:lang w:val="pt-BR"/>
        </w:rPr>
      </w:pPr>
      <w:r>
        <w:rPr>
          <w:szCs w:val="24"/>
          <w:lang w:val="pt-BR"/>
        </w:rPr>
        <w:t>Naviraí -MS, 08 de novembro de 2023.</w:t>
      </w:r>
    </w:p>
    <w:p>
      <w:pPr>
        <w:pStyle w:val="22"/>
        <w:spacing w:before="41"/>
        <w:ind w:left="105"/>
        <w:jc w:val="both"/>
        <w:rPr>
          <w:color w:val="FF0000"/>
          <w:szCs w:val="24"/>
          <w:lang w:val="pt-BR"/>
        </w:rPr>
      </w:pPr>
    </w:p>
    <w:p>
      <w:pPr>
        <w:pStyle w:val="22"/>
        <w:spacing w:before="41"/>
        <w:ind w:left="105"/>
        <w:jc w:val="both"/>
        <w:rPr>
          <w:color w:val="FF0000"/>
          <w:szCs w:val="24"/>
          <w:lang w:val="pt-BR"/>
        </w:rPr>
      </w:pPr>
    </w:p>
    <w:p>
      <w:pPr>
        <w:pStyle w:val="22"/>
        <w:spacing w:before="41"/>
        <w:ind w:left="105"/>
        <w:jc w:val="both"/>
        <w:rPr>
          <w:color w:val="FF0000"/>
          <w:szCs w:val="24"/>
          <w:lang w:val="pt-BR"/>
        </w:rPr>
      </w:pPr>
    </w:p>
    <w:p>
      <w:pPr>
        <w:pStyle w:val="22"/>
        <w:spacing w:before="41"/>
        <w:ind w:left="105"/>
        <w:jc w:val="right"/>
        <w:rPr>
          <w:color w:val="FF0000"/>
          <w:szCs w:val="24"/>
          <w:lang w:val="pt-BR"/>
        </w:rPr>
      </w:pPr>
    </w:p>
    <w:p>
      <w:pPr>
        <w:pStyle w:val="22"/>
        <w:spacing w:before="41"/>
        <w:ind w:left="105"/>
        <w:jc w:val="center"/>
        <w:rPr>
          <w:color w:val="FF0000"/>
          <w:szCs w:val="24"/>
          <w:lang w:val="pt-BR"/>
        </w:rPr>
      </w:pPr>
    </w:p>
    <w:p>
      <w:pPr>
        <w:shd w:val="clear" w:color="auto" w:fill="FFFFFF"/>
        <w:spacing w:line="240" w:lineRule="auto"/>
        <w:jc w:val="center"/>
        <w:textAlignment w:val="baseline"/>
        <w:rPr>
          <w:rFonts w:cs="Times New Roman"/>
          <w:szCs w:val="24"/>
        </w:rPr>
      </w:pPr>
    </w:p>
    <w:p>
      <w:pPr>
        <w:shd w:val="clear" w:color="auto" w:fill="FFFFFF"/>
        <w:contextualSpacing/>
        <w:jc w:val="center"/>
        <w:textAlignment w:val="baseline"/>
        <w:rPr>
          <w:rFonts w:cs="Times New Roman"/>
          <w:b/>
          <w:szCs w:val="24"/>
        </w:rPr>
      </w:pPr>
      <w:r>
        <w:rPr>
          <w:rFonts w:cs="Times New Roman"/>
          <w:b/>
          <w:szCs w:val="24"/>
        </w:rPr>
        <w:t>Flávia C. R. Bressa Pinheiro</w:t>
      </w:r>
    </w:p>
    <w:p>
      <w:pPr>
        <w:shd w:val="clear" w:color="auto" w:fill="FFFFFF"/>
        <w:contextualSpacing/>
        <w:jc w:val="center"/>
        <w:textAlignment w:val="baseline"/>
        <w:rPr>
          <w:rFonts w:cs="Times New Roman"/>
          <w:szCs w:val="24"/>
        </w:rPr>
      </w:pPr>
      <w:r>
        <w:rPr>
          <w:rFonts w:cs="Times New Roman"/>
          <w:szCs w:val="24"/>
        </w:rPr>
        <w:t>Gerente de Planejamento e Gestão Pública</w:t>
      </w:r>
    </w:p>
    <w:p>
      <w:pPr>
        <w:shd w:val="clear" w:color="auto" w:fill="FFFFFF"/>
        <w:contextualSpacing/>
        <w:jc w:val="center"/>
        <w:textAlignment w:val="baseline"/>
        <w:rPr>
          <w:rFonts w:cs="Times New Roman"/>
          <w:szCs w:val="24"/>
        </w:rPr>
      </w:pPr>
    </w:p>
    <w:p>
      <w:pPr>
        <w:shd w:val="clear" w:color="auto" w:fill="FFFFFF"/>
        <w:contextualSpacing/>
        <w:jc w:val="center"/>
        <w:textAlignment w:val="baseline"/>
        <w:rPr>
          <w:rFonts w:cs="Times New Roman"/>
          <w:szCs w:val="24"/>
        </w:rPr>
      </w:pPr>
    </w:p>
    <w:p>
      <w:pPr>
        <w:shd w:val="clear" w:color="auto" w:fill="FFFFFF"/>
        <w:contextualSpacing/>
        <w:jc w:val="center"/>
        <w:textAlignment w:val="baseline"/>
        <w:rPr>
          <w:rFonts w:cs="Times New Roman"/>
          <w:szCs w:val="24"/>
        </w:rPr>
      </w:pPr>
    </w:p>
    <w:p>
      <w:pPr>
        <w:shd w:val="clear" w:color="auto" w:fill="FFFFFF"/>
        <w:contextualSpacing/>
        <w:jc w:val="center"/>
        <w:textAlignment w:val="baseline"/>
        <w:rPr>
          <w:rFonts w:cs="Times New Roman"/>
          <w:b/>
          <w:szCs w:val="24"/>
        </w:rPr>
      </w:pPr>
    </w:p>
    <w:p>
      <w:pPr>
        <w:shd w:val="clear" w:color="auto" w:fill="FFFFFF"/>
        <w:contextualSpacing/>
        <w:jc w:val="center"/>
        <w:textAlignment w:val="baseline"/>
        <w:rPr>
          <w:rFonts w:cs="Times New Roman"/>
          <w:b/>
          <w:szCs w:val="24"/>
        </w:rPr>
      </w:pPr>
      <w:r>
        <w:rPr>
          <w:rFonts w:cs="Times New Roman"/>
          <w:b/>
          <w:szCs w:val="24"/>
        </w:rPr>
        <w:t>Márcio Grei A. Vidal de Figueiredo</w:t>
      </w:r>
    </w:p>
    <w:p>
      <w:pPr>
        <w:shd w:val="clear" w:color="auto" w:fill="FFFFFF"/>
        <w:contextualSpacing/>
        <w:jc w:val="center"/>
        <w:textAlignment w:val="baseline"/>
        <w:rPr>
          <w:rFonts w:cs="Times New Roman"/>
          <w:szCs w:val="24"/>
        </w:rPr>
      </w:pPr>
      <w:r>
        <w:rPr>
          <w:rFonts w:cs="Times New Roman"/>
          <w:szCs w:val="24"/>
        </w:rPr>
        <w:t>Gerente de Saúde</w:t>
      </w:r>
    </w:p>
    <w:p>
      <w:pPr>
        <w:shd w:val="clear" w:color="auto" w:fill="FFFFFF"/>
        <w:spacing w:line="240" w:lineRule="auto"/>
        <w:jc w:val="center"/>
        <w:textAlignment w:val="baseline"/>
        <w:rPr>
          <w:rFonts w:cs="Times New Roman"/>
          <w:szCs w:val="24"/>
        </w:rPr>
      </w:pPr>
    </w:p>
    <w:p>
      <w:pPr>
        <w:shd w:val="clear" w:color="auto" w:fill="FFFFFF"/>
        <w:spacing w:line="240" w:lineRule="auto"/>
        <w:textAlignment w:val="baseline"/>
        <w:rPr>
          <w:rFonts w:cs="Times New Roman"/>
          <w:szCs w:val="24"/>
        </w:rPr>
      </w:pPr>
    </w:p>
    <w:p>
      <w:pPr>
        <w:pStyle w:val="9"/>
        <w:spacing w:line="240" w:lineRule="auto"/>
        <w:jc w:val="center"/>
        <w:rPr>
          <w:rFonts w:ascii="Times New Roman" w:hAnsi="Times New Roman"/>
          <w:b/>
          <w:szCs w:val="24"/>
        </w:rPr>
      </w:pPr>
    </w:p>
    <w:p>
      <w:pPr>
        <w:pStyle w:val="9"/>
        <w:spacing w:line="240" w:lineRule="auto"/>
        <w:rPr>
          <w:rFonts w:ascii="Times New Roman" w:hAnsi="Times New Roman"/>
          <w:b/>
          <w:szCs w:val="24"/>
        </w:rPr>
      </w:pPr>
    </w:p>
    <w:p>
      <w:pPr>
        <w:pStyle w:val="9"/>
        <w:spacing w:line="240" w:lineRule="auto"/>
        <w:rPr>
          <w:rFonts w:ascii="Times New Roman" w:hAnsi="Times New Roman"/>
          <w:b/>
          <w:szCs w:val="24"/>
        </w:rPr>
      </w:pPr>
    </w:p>
    <w:p>
      <w:pPr>
        <w:jc w:val="both"/>
        <w:rPr>
          <w:rFonts w:cs="Times New Roman"/>
          <w:b/>
          <w:bCs/>
          <w:color w:val="000000"/>
          <w:sz w:val="144"/>
          <w:szCs w:val="144"/>
        </w:rPr>
      </w:pPr>
      <w:bookmarkStart w:id="3" w:name="_GoBack"/>
      <w:bookmarkEnd w:id="3"/>
    </w:p>
    <w:p>
      <w:pPr>
        <w:jc w:val="center"/>
        <w:rPr>
          <w:rFonts w:cs="Times New Roman"/>
          <w:b/>
          <w:bCs/>
          <w:color w:val="000000"/>
          <w:sz w:val="144"/>
          <w:szCs w:val="144"/>
        </w:rPr>
      </w:pPr>
    </w:p>
    <w:p>
      <w:pPr>
        <w:jc w:val="center"/>
        <w:rPr>
          <w:rFonts w:cs="Times New Roman"/>
          <w:b/>
          <w:bCs/>
          <w:color w:val="000000"/>
          <w:sz w:val="144"/>
          <w:szCs w:val="144"/>
        </w:rPr>
      </w:pPr>
      <w:r>
        <w:rPr>
          <w:rFonts w:cs="Times New Roman"/>
          <w:b/>
          <w:bCs/>
          <w:color w:val="000000"/>
          <w:sz w:val="144"/>
          <w:szCs w:val="144"/>
        </w:rPr>
        <w:t>ANEXO I</w:t>
      </w:r>
    </w:p>
    <w:p>
      <w:pPr>
        <w:shd w:val="clear" w:color="auto" w:fill="FFFFFF"/>
        <w:spacing w:line="240" w:lineRule="auto"/>
        <w:jc w:val="center"/>
        <w:textAlignment w:val="baseline"/>
        <w:rPr>
          <w:rFonts w:cs="Times New Roman"/>
          <w:sz w:val="52"/>
          <w:szCs w:val="80"/>
        </w:rPr>
      </w:pPr>
      <w:r>
        <w:rPr>
          <w:rFonts w:cs="Times New Roman"/>
          <w:sz w:val="52"/>
          <w:szCs w:val="80"/>
        </w:rPr>
        <w:t>MEMÓRIA DE CÁLCULO</w:t>
      </w: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tabs>
          <w:tab w:val="left" w:pos="4860"/>
        </w:tabs>
        <w:textAlignment w:val="baseline"/>
        <w:rPr>
          <w:rFonts w:cs="Times New Roman"/>
          <w:color w:val="000000"/>
          <w:szCs w:val="24"/>
        </w:rPr>
      </w:pPr>
      <w:r>
        <w:rPr>
          <w:rFonts w:cs="Times New Roman"/>
          <w:color w:val="000000"/>
          <w:szCs w:val="24"/>
        </w:rPr>
        <w:tab/>
      </w:r>
    </w:p>
    <w:p>
      <w:pPr>
        <w:shd w:val="clear" w:color="auto" w:fill="FFFFFF"/>
        <w:tabs>
          <w:tab w:val="left" w:pos="4860"/>
        </w:tabs>
        <w:textAlignment w:val="baseline"/>
        <w:rPr>
          <w:rFonts w:cs="Times New Roman"/>
          <w:color w:val="000000"/>
          <w:szCs w:val="24"/>
        </w:rPr>
      </w:pPr>
    </w:p>
    <w:p>
      <w:pPr>
        <w:shd w:val="clear" w:color="auto" w:fill="FFFFFF"/>
        <w:tabs>
          <w:tab w:val="left" w:pos="4860"/>
        </w:tabs>
        <w:textAlignment w:val="baseline"/>
        <w:rPr>
          <w:rFonts w:cs="Times New Roman"/>
          <w:color w:val="000000"/>
          <w:szCs w:val="24"/>
        </w:rPr>
      </w:pPr>
    </w:p>
    <w:p>
      <w:pPr>
        <w:shd w:val="clear" w:color="auto" w:fill="FFFFFF"/>
        <w:tabs>
          <w:tab w:val="left" w:pos="4860"/>
        </w:tabs>
        <w:jc w:val="center"/>
        <w:textAlignment w:val="baseline"/>
        <w:rPr>
          <w:rFonts w:cs="Times New Roman"/>
          <w:color w:val="000000"/>
          <w:szCs w:val="24"/>
        </w:rPr>
      </w:pPr>
    </w:p>
    <w:p>
      <w:pPr>
        <w:shd w:val="clear" w:color="auto" w:fill="FFFFFF"/>
        <w:tabs>
          <w:tab w:val="left" w:pos="4860"/>
        </w:tabs>
        <w:jc w:val="center"/>
        <w:textAlignment w:val="baseline"/>
        <w:rPr>
          <w:rFonts w:cs="Times New Roman"/>
          <w:color w:val="000000"/>
          <w:szCs w:val="24"/>
        </w:rPr>
      </w:pPr>
    </w:p>
    <w:p>
      <w:pPr>
        <w:shd w:val="clear" w:color="auto" w:fill="FFFFFF"/>
        <w:tabs>
          <w:tab w:val="left" w:pos="4860"/>
        </w:tabs>
        <w:jc w:val="center"/>
        <w:textAlignment w:val="baseline"/>
        <w:rPr>
          <w:rFonts w:cs="Times New Roman"/>
          <w:color w:val="000000"/>
          <w:szCs w:val="24"/>
        </w:rPr>
      </w:pPr>
    </w:p>
    <w:p>
      <w:pPr>
        <w:shd w:val="clear" w:color="auto" w:fill="FFFFFF"/>
        <w:tabs>
          <w:tab w:val="left" w:pos="4860"/>
        </w:tabs>
        <w:textAlignment w:val="baseline"/>
        <w:rPr>
          <w:rFonts w:cs="Times New Roman"/>
          <w:color w:val="000000"/>
          <w:szCs w:val="24"/>
        </w:rPr>
      </w:pPr>
    </w:p>
    <w:p>
      <w:pPr>
        <w:shd w:val="clear" w:color="auto" w:fill="FFFFFF"/>
        <w:textAlignment w:val="baseline"/>
        <w:rPr>
          <w:rFonts w:cs="Times New Roman"/>
          <w:color w:val="000000"/>
          <w:szCs w:val="24"/>
        </w:rPr>
      </w:pPr>
    </w:p>
    <w:p>
      <w:pPr>
        <w:shd w:val="clear" w:color="auto" w:fill="FFFFFF"/>
        <w:jc w:val="center"/>
        <w:textAlignment w:val="baseline"/>
        <w:rPr>
          <w:rFonts w:cs="Times New Roman"/>
          <w:b/>
          <w:bCs/>
          <w:color w:val="000000"/>
          <w:sz w:val="144"/>
          <w:szCs w:val="144"/>
        </w:rPr>
      </w:pPr>
      <w:r>
        <w:rPr>
          <w:rFonts w:cs="Times New Roman"/>
          <w:b/>
          <w:bCs/>
          <w:color w:val="000000"/>
          <w:sz w:val="144"/>
          <w:szCs w:val="144"/>
        </w:rPr>
        <w:t>ANEXO II</w:t>
      </w:r>
    </w:p>
    <w:p>
      <w:pPr>
        <w:shd w:val="clear" w:color="auto" w:fill="FFFFFF"/>
        <w:spacing w:line="240" w:lineRule="auto"/>
        <w:jc w:val="center"/>
        <w:textAlignment w:val="baseline"/>
        <w:rPr>
          <w:rFonts w:cs="Times New Roman"/>
          <w:sz w:val="52"/>
          <w:szCs w:val="80"/>
        </w:rPr>
      </w:pPr>
      <w:r>
        <w:rPr>
          <w:rFonts w:cs="Times New Roman"/>
          <w:sz w:val="52"/>
          <w:szCs w:val="80"/>
        </w:rPr>
        <w:t>CRONOGRAMA FÍSICO-FINANCEIRO e PLANILHA ORÇAMENTÁRIA</w:t>
      </w:r>
    </w:p>
    <w:p>
      <w:pPr>
        <w:shd w:val="clear" w:color="auto" w:fill="FFFFFF"/>
        <w:jc w:val="center"/>
        <w:textAlignment w:val="baseline"/>
        <w:rPr>
          <w:rFonts w:cs="Times New Roman"/>
          <w:color w:val="000000"/>
          <w:sz w:val="56"/>
          <w:szCs w:val="56"/>
        </w:rPr>
      </w:pPr>
    </w:p>
    <w:p>
      <w:pPr>
        <w:shd w:val="clear" w:color="auto" w:fill="FFFFFF"/>
        <w:jc w:val="center"/>
        <w:textAlignment w:val="baseline"/>
        <w:rPr>
          <w:rFonts w:cs="Times New Roman"/>
          <w:b/>
          <w:bCs/>
          <w:color w:val="000000"/>
          <w:sz w:val="144"/>
          <w:szCs w:val="144"/>
        </w:rPr>
      </w:pPr>
    </w:p>
    <w:p>
      <w:pPr>
        <w:pStyle w:val="22"/>
        <w:spacing w:before="41"/>
        <w:ind w:left="105"/>
        <w:jc w:val="both"/>
        <w:rPr>
          <w:color w:val="000000"/>
          <w:lang w:val="pt-BR"/>
        </w:rPr>
      </w:pPr>
    </w:p>
    <w:p>
      <w:pPr>
        <w:pStyle w:val="22"/>
        <w:spacing w:before="41"/>
        <w:ind w:left="0"/>
        <w:jc w:val="both"/>
        <w:rPr>
          <w:color w:val="000000"/>
          <w:lang w:val="pt-BR"/>
        </w:rPr>
      </w:pPr>
    </w:p>
    <w:p>
      <w:pPr>
        <w:pStyle w:val="22"/>
        <w:spacing w:before="41"/>
        <w:ind w:left="0"/>
        <w:jc w:val="both"/>
        <w:rPr>
          <w:color w:val="000000"/>
          <w:lang w:val="pt-BR"/>
        </w:rPr>
      </w:pPr>
    </w:p>
    <w:p>
      <w:pPr>
        <w:shd w:val="clear" w:color="auto" w:fill="FFFFFF"/>
        <w:jc w:val="center"/>
        <w:textAlignment w:val="baseline"/>
        <w:rPr>
          <w:rFonts w:cs="Times New Roman"/>
          <w:color w:val="000000"/>
          <w:sz w:val="56"/>
          <w:szCs w:val="56"/>
        </w:rPr>
      </w:pPr>
    </w:p>
    <w:p>
      <w:pPr>
        <w:shd w:val="clear" w:color="auto" w:fill="FFFFFF"/>
        <w:jc w:val="center"/>
        <w:textAlignment w:val="baseline"/>
        <w:rPr>
          <w:rFonts w:cs="Times New Roman"/>
          <w:color w:val="000000"/>
          <w:sz w:val="56"/>
          <w:szCs w:val="56"/>
        </w:rPr>
      </w:pPr>
    </w:p>
    <w:p>
      <w:pPr>
        <w:shd w:val="clear" w:color="auto" w:fill="FFFFFF"/>
        <w:jc w:val="center"/>
        <w:textAlignment w:val="baseline"/>
        <w:rPr>
          <w:rFonts w:cs="Times New Roman"/>
          <w:color w:val="000000"/>
          <w:sz w:val="56"/>
          <w:szCs w:val="56"/>
        </w:rPr>
      </w:pPr>
    </w:p>
    <w:p>
      <w:pPr>
        <w:shd w:val="clear" w:color="auto" w:fill="FFFFFF"/>
        <w:jc w:val="center"/>
        <w:textAlignment w:val="baseline"/>
        <w:rPr>
          <w:rFonts w:cs="Times New Roman"/>
          <w:color w:val="000000"/>
          <w:sz w:val="56"/>
          <w:szCs w:val="56"/>
        </w:rPr>
      </w:pPr>
    </w:p>
    <w:p>
      <w:pPr>
        <w:shd w:val="clear" w:color="auto" w:fill="FFFFFF"/>
        <w:jc w:val="center"/>
        <w:textAlignment w:val="baseline"/>
        <w:rPr>
          <w:rFonts w:cs="Times New Roman"/>
          <w:b/>
          <w:bCs/>
          <w:color w:val="000000"/>
          <w:sz w:val="144"/>
          <w:szCs w:val="144"/>
        </w:rPr>
      </w:pPr>
      <w:r>
        <w:rPr>
          <w:rFonts w:cs="Times New Roman"/>
          <w:b/>
          <w:bCs/>
          <w:color w:val="000000"/>
          <w:sz w:val="144"/>
          <w:szCs w:val="144"/>
        </w:rPr>
        <w:t>ANEXO III</w:t>
      </w:r>
    </w:p>
    <w:p>
      <w:pPr>
        <w:shd w:val="clear" w:color="auto" w:fill="FFFFFF"/>
        <w:jc w:val="center"/>
        <w:textAlignment w:val="baseline"/>
        <w:rPr>
          <w:rFonts w:cs="Times New Roman"/>
          <w:bCs/>
          <w:sz w:val="56"/>
          <w:szCs w:val="24"/>
        </w:rPr>
      </w:pPr>
      <w:r>
        <w:rPr>
          <w:rFonts w:cs="Times New Roman"/>
          <w:bCs/>
          <w:sz w:val="56"/>
          <w:szCs w:val="24"/>
        </w:rPr>
        <w:t xml:space="preserve">MEMORIAL DESCRITIVO </w:t>
      </w: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Cs/>
          <w:sz w:val="56"/>
          <w:szCs w:val="24"/>
        </w:rPr>
      </w:pPr>
    </w:p>
    <w:p>
      <w:pPr>
        <w:shd w:val="clear" w:color="auto" w:fill="FFFFFF"/>
        <w:jc w:val="center"/>
        <w:textAlignment w:val="baseline"/>
        <w:rPr>
          <w:rFonts w:cs="Times New Roman"/>
          <w:b/>
          <w:bCs/>
          <w:color w:val="000000"/>
          <w:sz w:val="144"/>
          <w:szCs w:val="144"/>
        </w:rPr>
      </w:pPr>
      <w:r>
        <w:rPr>
          <w:rFonts w:cs="Times New Roman"/>
          <w:b/>
          <w:bCs/>
          <w:color w:val="000000"/>
          <w:sz w:val="144"/>
          <w:szCs w:val="144"/>
        </w:rPr>
        <w:t>ANEXO IV</w:t>
      </w:r>
    </w:p>
    <w:p>
      <w:pPr>
        <w:shd w:val="clear" w:color="auto" w:fill="FFFFFF"/>
        <w:jc w:val="center"/>
        <w:textAlignment w:val="baseline"/>
        <w:rPr>
          <w:rFonts w:cs="Times New Roman"/>
          <w:color w:val="000000"/>
        </w:rPr>
      </w:pPr>
      <w:r>
        <w:rPr>
          <w:rFonts w:cs="Times New Roman"/>
          <w:bCs/>
          <w:sz w:val="56"/>
          <w:szCs w:val="24"/>
        </w:rPr>
        <w:t>DEMAIS DOCUMENTOS</w:t>
      </w: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p>
      <w:pPr>
        <w:pStyle w:val="22"/>
        <w:spacing w:before="41"/>
        <w:ind w:left="105"/>
        <w:jc w:val="both"/>
        <w:rPr>
          <w:color w:val="000000"/>
          <w:lang w:val="pt-BR"/>
        </w:rPr>
      </w:pPr>
    </w:p>
    <w:sectPr>
      <w:headerReference r:id="rId5" w:type="default"/>
      <w:footerReference r:id="rId6" w:type="default"/>
      <w:pgSz w:w="11906" w:h="16838"/>
      <w:pgMar w:top="1593" w:right="1701" w:bottom="1418" w:left="1701" w:header="284" w:footer="24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Times-Roman">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Hoefler Text Regular">
    <w:panose1 w:val="02030602050506020203"/>
    <w:charset w:val="00"/>
    <w:family w:val="auto"/>
    <w:pitch w:val="default"/>
    <w:sig w:usb0="00000000" w:usb1="00000000" w:usb2="00000000" w:usb3="00000000" w:csb0="00000000" w:csb1="00000000"/>
  </w:font>
  <w:font w:name="ITC Zapf Chancery">
    <w:panose1 w:val="03010101010201010101"/>
    <w:charset w:val="00"/>
    <w:family w:val="auto"/>
    <w:pitch w:val="default"/>
    <w:sig w:usb0="00000000" w:usb1="00000000" w:usb2="00000000" w:usb3="00000000" w:csb0="00000000" w:csb1="00000000"/>
  </w:font>
  <w:font w:name="Helvetica Condensed">
    <w:panose1 w:val="020B0606020202030204"/>
    <w:charset w:val="00"/>
    <w:family w:val="auto"/>
    <w:pitch w:val="default"/>
    <w:sig w:usb0="00000000" w:usb1="00000000" w:usb2="00000000" w:usb3="00000000" w:csb0="00000000" w:csb1="00000000"/>
  </w:font>
  <w:font w:name="GillSans Condensed">
    <w:panose1 w:val="020B05060202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jc w:val="center"/>
      <w:rPr>
        <w:sz w:val="20"/>
      </w:rPr>
    </w:pPr>
  </w:p>
  <w:p>
    <w:pPr>
      <w:pStyle w:val="14"/>
      <w:jc w:val="center"/>
      <w:rPr>
        <w:sz w:val="20"/>
      </w:rPr>
    </w:pPr>
    <w:r>
      <w:rPr>
        <w:sz w:val="20"/>
      </w:rPr>
      <w:t>Avenida Weimar Gonçalves Torres, 862, Centro, Naviraí-MS</w:t>
    </w:r>
  </w:p>
  <w:p>
    <w:pPr>
      <w:pStyle w:val="14"/>
      <w:jc w:val="center"/>
      <w:rPr>
        <w:sz w:val="20"/>
      </w:rPr>
    </w:pPr>
    <w:r>
      <w:rPr>
        <w:sz w:val="20"/>
      </w:rPr>
      <w:t xml:space="preserve">CEP: 79.950-000 / Fone: (67) 3409-1500 </w:t>
    </w:r>
  </w:p>
  <w:p>
    <w:pPr>
      <w:pStyle w:val="14"/>
      <w:jc w:val="center"/>
      <w:rPr>
        <w:sz w:val="20"/>
      </w:rPr>
    </w:pPr>
    <w:r>
      <w:rPr>
        <w:sz w:val="20"/>
      </w:rPr>
      <w:t>www.navirai.ms.gov.br</w:t>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pPr>
      <w:r>
        <w:separator/>
      </w:r>
    </w:p>
  </w:footnote>
  <w:footnote w:type="continuationSeparator" w:id="3">
    <w:p>
      <w:pPr>
        <w:spacing w:line="360" w:lineRule="auto"/>
      </w:pPr>
      <w:r>
        <w:continuationSeparator/>
      </w:r>
    </w:p>
  </w:footnote>
  <w:footnote w:id="0">
    <w:p>
      <w:pPr>
        <w:pStyle w:val="16"/>
      </w:pPr>
      <w:r>
        <w:rPr>
          <w:rStyle w:val="7"/>
        </w:rPr>
        <w:footnoteRef/>
      </w:r>
      <w:r>
        <w:t xml:space="preserve"> https://www.gov.br/saude/pt-br/composicao/saps/estrategia-saude-da-familia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Arial" w:hAnsi="Arial" w:cs="Arial"/>
        <w:b/>
        <w:bCs/>
        <w:sz w:val="20"/>
      </w:rPr>
    </w:pPr>
    <w:bookmarkStart w:id="1" w:name="_Hlk69001838"/>
    <w:r>
      <w:rPr>
        <w:rFonts w:ascii="Arial" w:hAnsi="Arial" w:cs="Arial"/>
        <w:b/>
        <w:sz w:val="20"/>
        <w:lang w:eastAsia="pt-BR"/>
      </w:rPr>
      <w:drawing>
        <wp:inline distT="0" distB="0" distL="0" distR="0">
          <wp:extent cx="1062990" cy="967740"/>
          <wp:effectExtent l="0" t="0" r="3810" b="3810"/>
          <wp:docPr id="1" name="Imagem 1" descr="brasao-de-armas-navi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de-armas-navir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2990" cy="967740"/>
                  </a:xfrm>
                  <a:prstGeom prst="rect">
                    <a:avLst/>
                  </a:prstGeom>
                  <a:noFill/>
                  <a:ln>
                    <a:noFill/>
                  </a:ln>
                </pic:spPr>
              </pic:pic>
            </a:graphicData>
          </a:graphic>
        </wp:inline>
      </w:drawing>
    </w:r>
  </w:p>
  <w:p>
    <w:pPr>
      <w:pStyle w:val="13"/>
      <w:jc w:val="center"/>
      <w:rPr>
        <w:rFonts w:cs="Times New Roman"/>
        <w:b/>
        <w:bCs/>
        <w:u w:val="single"/>
      </w:rPr>
    </w:pPr>
    <w:r>
      <w:rPr>
        <w:rFonts w:cs="Times New Roman"/>
        <w:b/>
        <w:bCs/>
        <w:u w:val="single"/>
      </w:rPr>
      <w:t>PREFEITURA MUNICIPAL DE NAVIRAÍ</w:t>
    </w:r>
  </w:p>
  <w:p>
    <w:pPr>
      <w:pStyle w:val="13"/>
      <w:jc w:val="center"/>
      <w:rPr>
        <w:b/>
        <w:bCs/>
      </w:rPr>
    </w:pPr>
    <w:r>
      <w:rPr>
        <w:rFonts w:cs="Times New Roman"/>
        <w:b/>
        <w:bCs/>
      </w:rPr>
      <w:t>ESTADO DE MATO GROSSO DO SUL</w:t>
    </w:r>
  </w:p>
  <w:p>
    <w:pPr>
      <w:pStyle w:val="13"/>
    </w:pPr>
    <w:bookmarkStart w:id="2" w:name="_Hlk69001813"/>
  </w:p>
  <w:bookmarkEnd w:id="1"/>
  <w:bookmarkEnd w:id="2"/>
  <w:p>
    <w:pPr>
      <w:pStyle w:val="13"/>
      <w:pBdr>
        <w:top w:val="doub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7268D"/>
    <w:multiLevelType w:val="multilevel"/>
    <w:tmpl w:val="0627268D"/>
    <w:lvl w:ilvl="0" w:tentative="0">
      <w:start w:val="1"/>
      <w:numFmt w:val="bullet"/>
      <w:lvlText w:val=""/>
      <w:lvlJc w:val="left"/>
      <w:pPr>
        <w:tabs>
          <w:tab w:val="left" w:pos="2476"/>
        </w:tabs>
        <w:ind w:left="2476" w:hanging="360"/>
      </w:pPr>
      <w:rPr>
        <w:rFonts w:hint="default" w:ascii="Symbol" w:hAnsi="Symbol"/>
      </w:rPr>
    </w:lvl>
    <w:lvl w:ilvl="1" w:tentative="0">
      <w:start w:val="1"/>
      <w:numFmt w:val="bullet"/>
      <w:lvlText w:val="o"/>
      <w:lvlJc w:val="left"/>
      <w:pPr>
        <w:tabs>
          <w:tab w:val="left" w:pos="3196"/>
        </w:tabs>
        <w:ind w:left="3196" w:hanging="360"/>
      </w:pPr>
      <w:rPr>
        <w:rFonts w:hint="default" w:ascii="Courier New" w:hAnsi="Courier New" w:cs="Courier New"/>
      </w:rPr>
    </w:lvl>
    <w:lvl w:ilvl="2" w:tentative="0">
      <w:start w:val="1"/>
      <w:numFmt w:val="bullet"/>
      <w:lvlText w:val=""/>
      <w:lvlJc w:val="left"/>
      <w:pPr>
        <w:tabs>
          <w:tab w:val="left" w:pos="3916"/>
        </w:tabs>
        <w:ind w:left="3916" w:hanging="360"/>
      </w:pPr>
      <w:rPr>
        <w:rFonts w:hint="default" w:ascii="Wingdings" w:hAnsi="Wingdings"/>
      </w:rPr>
    </w:lvl>
    <w:lvl w:ilvl="3" w:tentative="0">
      <w:start w:val="1"/>
      <w:numFmt w:val="bullet"/>
      <w:lvlText w:val=""/>
      <w:lvlJc w:val="left"/>
      <w:pPr>
        <w:tabs>
          <w:tab w:val="left" w:pos="4636"/>
        </w:tabs>
        <w:ind w:left="4636" w:hanging="360"/>
      </w:pPr>
      <w:rPr>
        <w:rFonts w:hint="default" w:ascii="Symbol" w:hAnsi="Symbol"/>
      </w:rPr>
    </w:lvl>
    <w:lvl w:ilvl="4" w:tentative="0">
      <w:start w:val="1"/>
      <w:numFmt w:val="bullet"/>
      <w:lvlText w:val="o"/>
      <w:lvlJc w:val="left"/>
      <w:pPr>
        <w:tabs>
          <w:tab w:val="left" w:pos="5356"/>
        </w:tabs>
        <w:ind w:left="5356" w:hanging="360"/>
      </w:pPr>
      <w:rPr>
        <w:rFonts w:hint="default" w:ascii="Courier New" w:hAnsi="Courier New" w:cs="Courier New"/>
      </w:rPr>
    </w:lvl>
    <w:lvl w:ilvl="5" w:tentative="0">
      <w:start w:val="1"/>
      <w:numFmt w:val="bullet"/>
      <w:lvlText w:val=""/>
      <w:lvlJc w:val="left"/>
      <w:pPr>
        <w:tabs>
          <w:tab w:val="left" w:pos="6076"/>
        </w:tabs>
        <w:ind w:left="6076" w:hanging="360"/>
      </w:pPr>
      <w:rPr>
        <w:rFonts w:hint="default" w:ascii="Wingdings" w:hAnsi="Wingdings"/>
      </w:rPr>
    </w:lvl>
    <w:lvl w:ilvl="6" w:tentative="0">
      <w:start w:val="1"/>
      <w:numFmt w:val="bullet"/>
      <w:lvlText w:val=""/>
      <w:lvlJc w:val="left"/>
      <w:pPr>
        <w:tabs>
          <w:tab w:val="left" w:pos="6796"/>
        </w:tabs>
        <w:ind w:left="6796" w:hanging="360"/>
      </w:pPr>
      <w:rPr>
        <w:rFonts w:hint="default" w:ascii="Symbol" w:hAnsi="Symbol"/>
      </w:rPr>
    </w:lvl>
    <w:lvl w:ilvl="7" w:tentative="0">
      <w:start w:val="1"/>
      <w:numFmt w:val="bullet"/>
      <w:lvlText w:val="o"/>
      <w:lvlJc w:val="left"/>
      <w:pPr>
        <w:tabs>
          <w:tab w:val="left" w:pos="7516"/>
        </w:tabs>
        <w:ind w:left="7516" w:hanging="360"/>
      </w:pPr>
      <w:rPr>
        <w:rFonts w:hint="default" w:ascii="Courier New" w:hAnsi="Courier New" w:cs="Courier New"/>
      </w:rPr>
    </w:lvl>
    <w:lvl w:ilvl="8" w:tentative="0">
      <w:start w:val="1"/>
      <w:numFmt w:val="bullet"/>
      <w:lvlText w:val=""/>
      <w:lvlJc w:val="left"/>
      <w:pPr>
        <w:tabs>
          <w:tab w:val="left" w:pos="8236"/>
        </w:tabs>
        <w:ind w:left="8236" w:hanging="360"/>
      </w:pPr>
      <w:rPr>
        <w:rFonts w:hint="default" w:ascii="Wingdings" w:hAnsi="Wingdings"/>
      </w:rPr>
    </w:lvl>
  </w:abstractNum>
  <w:abstractNum w:abstractNumId="1">
    <w:nsid w:val="145D6399"/>
    <w:multiLevelType w:val="multilevel"/>
    <w:tmpl w:val="145D6399"/>
    <w:lvl w:ilvl="0" w:tentative="0">
      <w:start w:val="1"/>
      <w:numFmt w:val="bullet"/>
      <w:lvlText w:val=""/>
      <w:lvlJc w:val="left"/>
      <w:pPr>
        <w:ind w:left="825" w:hanging="360"/>
      </w:pPr>
      <w:rPr>
        <w:rFonts w:hint="default" w:ascii="Wingdings" w:hAnsi="Wingdings"/>
      </w:rPr>
    </w:lvl>
    <w:lvl w:ilvl="1" w:tentative="0">
      <w:start w:val="1"/>
      <w:numFmt w:val="bullet"/>
      <w:lvlText w:val="o"/>
      <w:lvlJc w:val="left"/>
      <w:pPr>
        <w:ind w:left="1545" w:hanging="360"/>
      </w:pPr>
      <w:rPr>
        <w:rFonts w:hint="default" w:ascii="Courier New" w:hAnsi="Courier New" w:cs="Courier New"/>
      </w:rPr>
    </w:lvl>
    <w:lvl w:ilvl="2" w:tentative="0">
      <w:start w:val="1"/>
      <w:numFmt w:val="bullet"/>
      <w:lvlText w:val=""/>
      <w:lvlJc w:val="left"/>
      <w:pPr>
        <w:ind w:left="2265" w:hanging="360"/>
      </w:pPr>
      <w:rPr>
        <w:rFonts w:hint="default" w:ascii="Wingdings" w:hAnsi="Wingdings"/>
      </w:rPr>
    </w:lvl>
    <w:lvl w:ilvl="3" w:tentative="0">
      <w:start w:val="1"/>
      <w:numFmt w:val="bullet"/>
      <w:lvlText w:val=""/>
      <w:lvlJc w:val="left"/>
      <w:pPr>
        <w:ind w:left="2985" w:hanging="360"/>
      </w:pPr>
      <w:rPr>
        <w:rFonts w:hint="default" w:ascii="Symbol" w:hAnsi="Symbol"/>
      </w:rPr>
    </w:lvl>
    <w:lvl w:ilvl="4" w:tentative="0">
      <w:start w:val="1"/>
      <w:numFmt w:val="bullet"/>
      <w:lvlText w:val="o"/>
      <w:lvlJc w:val="left"/>
      <w:pPr>
        <w:ind w:left="3705" w:hanging="360"/>
      </w:pPr>
      <w:rPr>
        <w:rFonts w:hint="default" w:ascii="Courier New" w:hAnsi="Courier New" w:cs="Courier New"/>
      </w:rPr>
    </w:lvl>
    <w:lvl w:ilvl="5" w:tentative="0">
      <w:start w:val="1"/>
      <w:numFmt w:val="bullet"/>
      <w:lvlText w:val=""/>
      <w:lvlJc w:val="left"/>
      <w:pPr>
        <w:ind w:left="4425" w:hanging="360"/>
      </w:pPr>
      <w:rPr>
        <w:rFonts w:hint="default" w:ascii="Wingdings" w:hAnsi="Wingdings"/>
      </w:rPr>
    </w:lvl>
    <w:lvl w:ilvl="6" w:tentative="0">
      <w:start w:val="1"/>
      <w:numFmt w:val="bullet"/>
      <w:lvlText w:val=""/>
      <w:lvlJc w:val="left"/>
      <w:pPr>
        <w:ind w:left="5145" w:hanging="360"/>
      </w:pPr>
      <w:rPr>
        <w:rFonts w:hint="default" w:ascii="Symbol" w:hAnsi="Symbol"/>
      </w:rPr>
    </w:lvl>
    <w:lvl w:ilvl="7" w:tentative="0">
      <w:start w:val="1"/>
      <w:numFmt w:val="bullet"/>
      <w:lvlText w:val="o"/>
      <w:lvlJc w:val="left"/>
      <w:pPr>
        <w:ind w:left="5865" w:hanging="360"/>
      </w:pPr>
      <w:rPr>
        <w:rFonts w:hint="default" w:ascii="Courier New" w:hAnsi="Courier New" w:cs="Courier New"/>
      </w:rPr>
    </w:lvl>
    <w:lvl w:ilvl="8" w:tentative="0">
      <w:start w:val="1"/>
      <w:numFmt w:val="bullet"/>
      <w:lvlText w:val=""/>
      <w:lvlJc w:val="left"/>
      <w:pPr>
        <w:ind w:left="6585" w:hanging="360"/>
      </w:pPr>
      <w:rPr>
        <w:rFonts w:hint="default" w:ascii="Wingdings" w:hAnsi="Wingdings"/>
      </w:rPr>
    </w:lvl>
  </w:abstractNum>
  <w:abstractNum w:abstractNumId="2">
    <w:nsid w:val="218C22FB"/>
    <w:multiLevelType w:val="multilevel"/>
    <w:tmpl w:val="218C22F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875209B"/>
    <w:multiLevelType w:val="multilevel"/>
    <w:tmpl w:val="3875209B"/>
    <w:lvl w:ilvl="0" w:tentative="0">
      <w:start w:val="1"/>
      <w:numFmt w:val="decimal"/>
      <w:lvlText w:val="%1."/>
      <w:lvlJc w:val="left"/>
      <w:pPr>
        <w:ind w:left="720" w:hanging="360"/>
      </w:pPr>
      <w:rPr>
        <w:rFonts w:hint="default"/>
      </w:rPr>
    </w:lvl>
    <w:lvl w:ilvl="1" w:tentative="0">
      <w:start w:val="1"/>
      <w:numFmt w:val="decimal"/>
      <w:isLgl/>
      <w:lvlText w:val="%1.%2"/>
      <w:lvlJc w:val="left"/>
      <w:pPr>
        <w:ind w:left="1084" w:hanging="375"/>
      </w:pPr>
      <w:rPr>
        <w:rFonts w:hint="default"/>
        <w:b/>
      </w:rPr>
    </w:lvl>
    <w:lvl w:ilvl="2" w:tentative="0">
      <w:start w:val="1"/>
      <w:numFmt w:val="decimal"/>
      <w:isLgl/>
      <w:lvlText w:val="%1.%2.%3"/>
      <w:lvlJc w:val="left"/>
      <w:pPr>
        <w:ind w:left="1778" w:hanging="720"/>
      </w:pPr>
      <w:rPr>
        <w:rFonts w:hint="default"/>
        <w:b/>
      </w:rPr>
    </w:lvl>
    <w:lvl w:ilvl="3" w:tentative="0">
      <w:start w:val="1"/>
      <w:numFmt w:val="decimal"/>
      <w:isLgl/>
      <w:lvlText w:val="%1.%2.%3.%4"/>
      <w:lvlJc w:val="left"/>
      <w:pPr>
        <w:ind w:left="2127" w:hanging="720"/>
      </w:pPr>
      <w:rPr>
        <w:rFonts w:hint="default"/>
        <w:b/>
      </w:rPr>
    </w:lvl>
    <w:lvl w:ilvl="4" w:tentative="0">
      <w:start w:val="1"/>
      <w:numFmt w:val="decimal"/>
      <w:isLgl/>
      <w:lvlText w:val="%1.%2.%3.%4.%5"/>
      <w:lvlJc w:val="left"/>
      <w:pPr>
        <w:ind w:left="2836" w:hanging="1080"/>
      </w:pPr>
      <w:rPr>
        <w:rFonts w:hint="default"/>
        <w:b/>
      </w:rPr>
    </w:lvl>
    <w:lvl w:ilvl="5" w:tentative="0">
      <w:start w:val="1"/>
      <w:numFmt w:val="decimal"/>
      <w:isLgl/>
      <w:lvlText w:val="%1.%2.%3.%4.%5.%6"/>
      <w:lvlJc w:val="left"/>
      <w:pPr>
        <w:ind w:left="3185" w:hanging="1080"/>
      </w:pPr>
      <w:rPr>
        <w:rFonts w:hint="default"/>
        <w:b/>
      </w:rPr>
    </w:lvl>
    <w:lvl w:ilvl="6" w:tentative="0">
      <w:start w:val="1"/>
      <w:numFmt w:val="decimal"/>
      <w:isLgl/>
      <w:lvlText w:val="%1.%2.%3.%4.%5.%6.%7"/>
      <w:lvlJc w:val="left"/>
      <w:pPr>
        <w:ind w:left="3894" w:hanging="1440"/>
      </w:pPr>
      <w:rPr>
        <w:rFonts w:hint="default"/>
        <w:b/>
      </w:rPr>
    </w:lvl>
    <w:lvl w:ilvl="7" w:tentative="0">
      <w:start w:val="1"/>
      <w:numFmt w:val="decimal"/>
      <w:isLgl/>
      <w:lvlText w:val="%1.%2.%3.%4.%5.%6.%7.%8"/>
      <w:lvlJc w:val="left"/>
      <w:pPr>
        <w:ind w:left="4243" w:hanging="1440"/>
      </w:pPr>
      <w:rPr>
        <w:rFonts w:hint="default"/>
        <w:b/>
      </w:rPr>
    </w:lvl>
    <w:lvl w:ilvl="8" w:tentative="0">
      <w:start w:val="1"/>
      <w:numFmt w:val="decimal"/>
      <w:isLgl/>
      <w:lvlText w:val="%1.%2.%3.%4.%5.%6.%7.%8.%9"/>
      <w:lvlJc w:val="left"/>
      <w:pPr>
        <w:ind w:left="4952" w:hanging="1800"/>
      </w:pPr>
      <w:rPr>
        <w:rFonts w:hint="default"/>
        <w:b/>
      </w:rPr>
    </w:lvl>
  </w:abstractNum>
  <w:abstractNum w:abstractNumId="4">
    <w:nsid w:val="48E00D7F"/>
    <w:multiLevelType w:val="multilevel"/>
    <w:tmpl w:val="48E00D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F1"/>
    <w:rsid w:val="00005F3E"/>
    <w:rsid w:val="00011723"/>
    <w:rsid w:val="000137EC"/>
    <w:rsid w:val="000168EC"/>
    <w:rsid w:val="0002643B"/>
    <w:rsid w:val="000361F2"/>
    <w:rsid w:val="00036B87"/>
    <w:rsid w:val="0004116D"/>
    <w:rsid w:val="0004198B"/>
    <w:rsid w:val="000431E6"/>
    <w:rsid w:val="000467A4"/>
    <w:rsid w:val="00055E80"/>
    <w:rsid w:val="00060557"/>
    <w:rsid w:val="000641A0"/>
    <w:rsid w:val="00064696"/>
    <w:rsid w:val="00083FBB"/>
    <w:rsid w:val="000922F1"/>
    <w:rsid w:val="000A1828"/>
    <w:rsid w:val="000B0736"/>
    <w:rsid w:val="000B11D8"/>
    <w:rsid w:val="000B4BA1"/>
    <w:rsid w:val="000B7B48"/>
    <w:rsid w:val="000C765B"/>
    <w:rsid w:val="000E31A6"/>
    <w:rsid w:val="000E4310"/>
    <w:rsid w:val="000F458C"/>
    <w:rsid w:val="001074D8"/>
    <w:rsid w:val="0011249A"/>
    <w:rsid w:val="0011616D"/>
    <w:rsid w:val="00116677"/>
    <w:rsid w:val="00136AB9"/>
    <w:rsid w:val="00140E99"/>
    <w:rsid w:val="00163E05"/>
    <w:rsid w:val="00164125"/>
    <w:rsid w:val="0017277F"/>
    <w:rsid w:val="00175850"/>
    <w:rsid w:val="00176FD6"/>
    <w:rsid w:val="00184BF5"/>
    <w:rsid w:val="00187F67"/>
    <w:rsid w:val="00190531"/>
    <w:rsid w:val="00191AF6"/>
    <w:rsid w:val="001975E9"/>
    <w:rsid w:val="001A0E35"/>
    <w:rsid w:val="001B05B7"/>
    <w:rsid w:val="001B06F1"/>
    <w:rsid w:val="001B2DF9"/>
    <w:rsid w:val="001C5680"/>
    <w:rsid w:val="001C5BB7"/>
    <w:rsid w:val="001C775C"/>
    <w:rsid w:val="001D2E73"/>
    <w:rsid w:val="001D4450"/>
    <w:rsid w:val="001D65DD"/>
    <w:rsid w:val="001E34AF"/>
    <w:rsid w:val="001E39DA"/>
    <w:rsid w:val="001F12CA"/>
    <w:rsid w:val="001F2354"/>
    <w:rsid w:val="001F260C"/>
    <w:rsid w:val="00204D12"/>
    <w:rsid w:val="002164DA"/>
    <w:rsid w:val="00230DA2"/>
    <w:rsid w:val="00232194"/>
    <w:rsid w:val="00235C0A"/>
    <w:rsid w:val="00236DED"/>
    <w:rsid w:val="00237A38"/>
    <w:rsid w:val="002430DD"/>
    <w:rsid w:val="00243307"/>
    <w:rsid w:val="002445FB"/>
    <w:rsid w:val="002525DC"/>
    <w:rsid w:val="00256600"/>
    <w:rsid w:val="00257873"/>
    <w:rsid w:val="00260D77"/>
    <w:rsid w:val="00262C10"/>
    <w:rsid w:val="00263980"/>
    <w:rsid w:val="002761D0"/>
    <w:rsid w:val="002852C4"/>
    <w:rsid w:val="00286F6A"/>
    <w:rsid w:val="0029419D"/>
    <w:rsid w:val="002B32FF"/>
    <w:rsid w:val="002D2DF0"/>
    <w:rsid w:val="002D5FFB"/>
    <w:rsid w:val="002D6FA3"/>
    <w:rsid w:val="002F727F"/>
    <w:rsid w:val="002F7D17"/>
    <w:rsid w:val="002F7DA2"/>
    <w:rsid w:val="00311955"/>
    <w:rsid w:val="00317640"/>
    <w:rsid w:val="003200A2"/>
    <w:rsid w:val="003243E2"/>
    <w:rsid w:val="00335C17"/>
    <w:rsid w:val="00347320"/>
    <w:rsid w:val="00354D72"/>
    <w:rsid w:val="003637AB"/>
    <w:rsid w:val="003648FB"/>
    <w:rsid w:val="003667BC"/>
    <w:rsid w:val="00367D2D"/>
    <w:rsid w:val="00372A9B"/>
    <w:rsid w:val="00372C06"/>
    <w:rsid w:val="00380DEC"/>
    <w:rsid w:val="003874EB"/>
    <w:rsid w:val="0039471D"/>
    <w:rsid w:val="003B2D72"/>
    <w:rsid w:val="003C0AE6"/>
    <w:rsid w:val="003C3177"/>
    <w:rsid w:val="003C5117"/>
    <w:rsid w:val="003C54EB"/>
    <w:rsid w:val="003D76B3"/>
    <w:rsid w:val="003D76B4"/>
    <w:rsid w:val="003F49C0"/>
    <w:rsid w:val="003F7E95"/>
    <w:rsid w:val="00407DA9"/>
    <w:rsid w:val="004125BB"/>
    <w:rsid w:val="00420BF7"/>
    <w:rsid w:val="00427252"/>
    <w:rsid w:val="00427FF7"/>
    <w:rsid w:val="0043167A"/>
    <w:rsid w:val="004368DC"/>
    <w:rsid w:val="004412BC"/>
    <w:rsid w:val="00442AB2"/>
    <w:rsid w:val="00445B14"/>
    <w:rsid w:val="00445B82"/>
    <w:rsid w:val="00457B44"/>
    <w:rsid w:val="00461A51"/>
    <w:rsid w:val="00472853"/>
    <w:rsid w:val="00481B39"/>
    <w:rsid w:val="00484C5B"/>
    <w:rsid w:val="00484FA8"/>
    <w:rsid w:val="004904DB"/>
    <w:rsid w:val="004906E2"/>
    <w:rsid w:val="004907D6"/>
    <w:rsid w:val="00493870"/>
    <w:rsid w:val="004967F6"/>
    <w:rsid w:val="00496D81"/>
    <w:rsid w:val="004A1B82"/>
    <w:rsid w:val="004B4611"/>
    <w:rsid w:val="004C418D"/>
    <w:rsid w:val="004C6DEF"/>
    <w:rsid w:val="004D413B"/>
    <w:rsid w:val="004F0346"/>
    <w:rsid w:val="004F46B0"/>
    <w:rsid w:val="00504C21"/>
    <w:rsid w:val="00506098"/>
    <w:rsid w:val="00525FA4"/>
    <w:rsid w:val="00540ED2"/>
    <w:rsid w:val="00547ECA"/>
    <w:rsid w:val="0055468F"/>
    <w:rsid w:val="005571ED"/>
    <w:rsid w:val="00570E8C"/>
    <w:rsid w:val="005805EE"/>
    <w:rsid w:val="00591E1F"/>
    <w:rsid w:val="005A781A"/>
    <w:rsid w:val="005B5508"/>
    <w:rsid w:val="005C1386"/>
    <w:rsid w:val="005C7276"/>
    <w:rsid w:val="005C7E9C"/>
    <w:rsid w:val="005E196B"/>
    <w:rsid w:val="005E2D5D"/>
    <w:rsid w:val="00604D7F"/>
    <w:rsid w:val="0060728B"/>
    <w:rsid w:val="00616E46"/>
    <w:rsid w:val="0062407C"/>
    <w:rsid w:val="00626940"/>
    <w:rsid w:val="006309E7"/>
    <w:rsid w:val="0064771A"/>
    <w:rsid w:val="0065199A"/>
    <w:rsid w:val="00652C90"/>
    <w:rsid w:val="006613EA"/>
    <w:rsid w:val="00661513"/>
    <w:rsid w:val="00661E7C"/>
    <w:rsid w:val="0066252E"/>
    <w:rsid w:val="00666C50"/>
    <w:rsid w:val="0067418C"/>
    <w:rsid w:val="00677F43"/>
    <w:rsid w:val="00683CE5"/>
    <w:rsid w:val="00690E94"/>
    <w:rsid w:val="00697857"/>
    <w:rsid w:val="006A2B0D"/>
    <w:rsid w:val="006A638A"/>
    <w:rsid w:val="006B3615"/>
    <w:rsid w:val="006B36AE"/>
    <w:rsid w:val="006C2BF2"/>
    <w:rsid w:val="006C2C68"/>
    <w:rsid w:val="006C5112"/>
    <w:rsid w:val="006D7AD2"/>
    <w:rsid w:val="006E1B02"/>
    <w:rsid w:val="006E4F21"/>
    <w:rsid w:val="006E6486"/>
    <w:rsid w:val="006F0FD6"/>
    <w:rsid w:val="006F7408"/>
    <w:rsid w:val="007046DE"/>
    <w:rsid w:val="00711274"/>
    <w:rsid w:val="00717545"/>
    <w:rsid w:val="0072259C"/>
    <w:rsid w:val="00724F17"/>
    <w:rsid w:val="00730E3A"/>
    <w:rsid w:val="00731464"/>
    <w:rsid w:val="00731D4A"/>
    <w:rsid w:val="00737CDB"/>
    <w:rsid w:val="007477A6"/>
    <w:rsid w:val="00756660"/>
    <w:rsid w:val="0076464C"/>
    <w:rsid w:val="00767338"/>
    <w:rsid w:val="00771234"/>
    <w:rsid w:val="00776F75"/>
    <w:rsid w:val="0078144F"/>
    <w:rsid w:val="00783146"/>
    <w:rsid w:val="00786163"/>
    <w:rsid w:val="0078648E"/>
    <w:rsid w:val="00792124"/>
    <w:rsid w:val="00792378"/>
    <w:rsid w:val="00794419"/>
    <w:rsid w:val="007973E5"/>
    <w:rsid w:val="007B3841"/>
    <w:rsid w:val="007B3AE2"/>
    <w:rsid w:val="007C24EB"/>
    <w:rsid w:val="007C40B6"/>
    <w:rsid w:val="007D1E37"/>
    <w:rsid w:val="007E1260"/>
    <w:rsid w:val="007E16A6"/>
    <w:rsid w:val="007E739A"/>
    <w:rsid w:val="007F7078"/>
    <w:rsid w:val="007F791F"/>
    <w:rsid w:val="00800A41"/>
    <w:rsid w:val="00800BCE"/>
    <w:rsid w:val="0080558E"/>
    <w:rsid w:val="0080570F"/>
    <w:rsid w:val="008064E8"/>
    <w:rsid w:val="0081392C"/>
    <w:rsid w:val="00814D31"/>
    <w:rsid w:val="008209EB"/>
    <w:rsid w:val="008222E6"/>
    <w:rsid w:val="0083164E"/>
    <w:rsid w:val="008345DD"/>
    <w:rsid w:val="00840744"/>
    <w:rsid w:val="0084181B"/>
    <w:rsid w:val="008511F8"/>
    <w:rsid w:val="008515A8"/>
    <w:rsid w:val="008547B1"/>
    <w:rsid w:val="00860635"/>
    <w:rsid w:val="00866089"/>
    <w:rsid w:val="0089310A"/>
    <w:rsid w:val="008A24D5"/>
    <w:rsid w:val="008A6B37"/>
    <w:rsid w:val="008B6F5B"/>
    <w:rsid w:val="008C2027"/>
    <w:rsid w:val="008D022C"/>
    <w:rsid w:val="008E154C"/>
    <w:rsid w:val="008E79B2"/>
    <w:rsid w:val="008F368B"/>
    <w:rsid w:val="00901085"/>
    <w:rsid w:val="00901397"/>
    <w:rsid w:val="009015DB"/>
    <w:rsid w:val="009019E4"/>
    <w:rsid w:val="009138CA"/>
    <w:rsid w:val="00917B8B"/>
    <w:rsid w:val="00917CC6"/>
    <w:rsid w:val="009303C4"/>
    <w:rsid w:val="0093337F"/>
    <w:rsid w:val="00933ACD"/>
    <w:rsid w:val="00935BCB"/>
    <w:rsid w:val="00941F5F"/>
    <w:rsid w:val="009514A5"/>
    <w:rsid w:val="00951F36"/>
    <w:rsid w:val="00963677"/>
    <w:rsid w:val="009673EE"/>
    <w:rsid w:val="009719E1"/>
    <w:rsid w:val="009720AA"/>
    <w:rsid w:val="009843E2"/>
    <w:rsid w:val="00986E71"/>
    <w:rsid w:val="00987987"/>
    <w:rsid w:val="009949BD"/>
    <w:rsid w:val="00995D91"/>
    <w:rsid w:val="00995DC8"/>
    <w:rsid w:val="00995FDF"/>
    <w:rsid w:val="009A224F"/>
    <w:rsid w:val="009A354C"/>
    <w:rsid w:val="009A6614"/>
    <w:rsid w:val="009A7A1C"/>
    <w:rsid w:val="009C70CA"/>
    <w:rsid w:val="009D7AA1"/>
    <w:rsid w:val="009E4AA3"/>
    <w:rsid w:val="00A04B97"/>
    <w:rsid w:val="00A053E8"/>
    <w:rsid w:val="00A10074"/>
    <w:rsid w:val="00A14F18"/>
    <w:rsid w:val="00A22E31"/>
    <w:rsid w:val="00A232AC"/>
    <w:rsid w:val="00A234C0"/>
    <w:rsid w:val="00A2407B"/>
    <w:rsid w:val="00A27C48"/>
    <w:rsid w:val="00A30A7F"/>
    <w:rsid w:val="00A345CD"/>
    <w:rsid w:val="00A41BF3"/>
    <w:rsid w:val="00A42F37"/>
    <w:rsid w:val="00A43069"/>
    <w:rsid w:val="00A54178"/>
    <w:rsid w:val="00A62AC2"/>
    <w:rsid w:val="00A66A5A"/>
    <w:rsid w:val="00A70F75"/>
    <w:rsid w:val="00A81F7F"/>
    <w:rsid w:val="00A85F90"/>
    <w:rsid w:val="00A9149C"/>
    <w:rsid w:val="00A951A9"/>
    <w:rsid w:val="00AA12B3"/>
    <w:rsid w:val="00AB19F8"/>
    <w:rsid w:val="00AC6450"/>
    <w:rsid w:val="00AD452F"/>
    <w:rsid w:val="00AE2DAC"/>
    <w:rsid w:val="00AE4B7A"/>
    <w:rsid w:val="00AF0023"/>
    <w:rsid w:val="00AF0E00"/>
    <w:rsid w:val="00AF2FA8"/>
    <w:rsid w:val="00B03641"/>
    <w:rsid w:val="00B107EC"/>
    <w:rsid w:val="00B141EA"/>
    <w:rsid w:val="00B146DF"/>
    <w:rsid w:val="00B15656"/>
    <w:rsid w:val="00B23641"/>
    <w:rsid w:val="00B25439"/>
    <w:rsid w:val="00B25C33"/>
    <w:rsid w:val="00B30B80"/>
    <w:rsid w:val="00B34244"/>
    <w:rsid w:val="00B34DCD"/>
    <w:rsid w:val="00B35050"/>
    <w:rsid w:val="00B354DC"/>
    <w:rsid w:val="00B451B2"/>
    <w:rsid w:val="00B56037"/>
    <w:rsid w:val="00B61B8B"/>
    <w:rsid w:val="00B65900"/>
    <w:rsid w:val="00B72E1A"/>
    <w:rsid w:val="00B72FED"/>
    <w:rsid w:val="00B77664"/>
    <w:rsid w:val="00B84389"/>
    <w:rsid w:val="00B86C1B"/>
    <w:rsid w:val="00B910B0"/>
    <w:rsid w:val="00BA4BC8"/>
    <w:rsid w:val="00BA5C1C"/>
    <w:rsid w:val="00BB4011"/>
    <w:rsid w:val="00BB4FDA"/>
    <w:rsid w:val="00BC2D4A"/>
    <w:rsid w:val="00BD194C"/>
    <w:rsid w:val="00BD21BE"/>
    <w:rsid w:val="00BE0CDA"/>
    <w:rsid w:val="00BE2141"/>
    <w:rsid w:val="00BE4CC9"/>
    <w:rsid w:val="00BF728B"/>
    <w:rsid w:val="00C07774"/>
    <w:rsid w:val="00C07B1E"/>
    <w:rsid w:val="00C10DA1"/>
    <w:rsid w:val="00C123BB"/>
    <w:rsid w:val="00C16A74"/>
    <w:rsid w:val="00C20692"/>
    <w:rsid w:val="00C2447B"/>
    <w:rsid w:val="00C302FD"/>
    <w:rsid w:val="00C32FA6"/>
    <w:rsid w:val="00C350AB"/>
    <w:rsid w:val="00C36739"/>
    <w:rsid w:val="00C41F8E"/>
    <w:rsid w:val="00C4306C"/>
    <w:rsid w:val="00C51697"/>
    <w:rsid w:val="00C5363F"/>
    <w:rsid w:val="00C57BC1"/>
    <w:rsid w:val="00C66334"/>
    <w:rsid w:val="00C73EBC"/>
    <w:rsid w:val="00C82F83"/>
    <w:rsid w:val="00C84162"/>
    <w:rsid w:val="00C851A4"/>
    <w:rsid w:val="00CA0CAA"/>
    <w:rsid w:val="00CA266B"/>
    <w:rsid w:val="00CA35C7"/>
    <w:rsid w:val="00CB0551"/>
    <w:rsid w:val="00CC178C"/>
    <w:rsid w:val="00CC248F"/>
    <w:rsid w:val="00CC4680"/>
    <w:rsid w:val="00CD0FC4"/>
    <w:rsid w:val="00CD4621"/>
    <w:rsid w:val="00CD6A63"/>
    <w:rsid w:val="00CE6BAA"/>
    <w:rsid w:val="00CF36FC"/>
    <w:rsid w:val="00CF6260"/>
    <w:rsid w:val="00CF71C9"/>
    <w:rsid w:val="00D057E2"/>
    <w:rsid w:val="00D06A61"/>
    <w:rsid w:val="00D10FE5"/>
    <w:rsid w:val="00D166FD"/>
    <w:rsid w:val="00D17005"/>
    <w:rsid w:val="00D24D25"/>
    <w:rsid w:val="00D35A7E"/>
    <w:rsid w:val="00D44A5B"/>
    <w:rsid w:val="00D46423"/>
    <w:rsid w:val="00D55DBB"/>
    <w:rsid w:val="00D56109"/>
    <w:rsid w:val="00D660A9"/>
    <w:rsid w:val="00D66610"/>
    <w:rsid w:val="00D762B4"/>
    <w:rsid w:val="00D8157C"/>
    <w:rsid w:val="00D84A07"/>
    <w:rsid w:val="00D92A9C"/>
    <w:rsid w:val="00D95944"/>
    <w:rsid w:val="00D97794"/>
    <w:rsid w:val="00DB1DCB"/>
    <w:rsid w:val="00DB6140"/>
    <w:rsid w:val="00DC277D"/>
    <w:rsid w:val="00DC7457"/>
    <w:rsid w:val="00DC75F5"/>
    <w:rsid w:val="00DE28C5"/>
    <w:rsid w:val="00DE78E0"/>
    <w:rsid w:val="00DF1CAC"/>
    <w:rsid w:val="00DF3A57"/>
    <w:rsid w:val="00DF4716"/>
    <w:rsid w:val="00E02540"/>
    <w:rsid w:val="00E03AF2"/>
    <w:rsid w:val="00E07C54"/>
    <w:rsid w:val="00E13575"/>
    <w:rsid w:val="00E17844"/>
    <w:rsid w:val="00E259BD"/>
    <w:rsid w:val="00E32176"/>
    <w:rsid w:val="00E35440"/>
    <w:rsid w:val="00E426D8"/>
    <w:rsid w:val="00E47B58"/>
    <w:rsid w:val="00E5005C"/>
    <w:rsid w:val="00E50B87"/>
    <w:rsid w:val="00E562A2"/>
    <w:rsid w:val="00E62CCD"/>
    <w:rsid w:val="00E740A0"/>
    <w:rsid w:val="00E84097"/>
    <w:rsid w:val="00E859AF"/>
    <w:rsid w:val="00E96FE2"/>
    <w:rsid w:val="00EA37BD"/>
    <w:rsid w:val="00EA447B"/>
    <w:rsid w:val="00EB40D6"/>
    <w:rsid w:val="00EB6936"/>
    <w:rsid w:val="00EB70EB"/>
    <w:rsid w:val="00EC58C6"/>
    <w:rsid w:val="00EC6030"/>
    <w:rsid w:val="00EC7F1B"/>
    <w:rsid w:val="00ED36D4"/>
    <w:rsid w:val="00EE54BB"/>
    <w:rsid w:val="00EE6C5F"/>
    <w:rsid w:val="00EF2F8B"/>
    <w:rsid w:val="00F01007"/>
    <w:rsid w:val="00F0689D"/>
    <w:rsid w:val="00F112E9"/>
    <w:rsid w:val="00F1460B"/>
    <w:rsid w:val="00F15B24"/>
    <w:rsid w:val="00F22008"/>
    <w:rsid w:val="00F2638A"/>
    <w:rsid w:val="00F3386D"/>
    <w:rsid w:val="00F530D0"/>
    <w:rsid w:val="00F635A7"/>
    <w:rsid w:val="00F6566C"/>
    <w:rsid w:val="00F65D73"/>
    <w:rsid w:val="00F716A8"/>
    <w:rsid w:val="00F73E47"/>
    <w:rsid w:val="00F81D6E"/>
    <w:rsid w:val="00F847AE"/>
    <w:rsid w:val="00F85593"/>
    <w:rsid w:val="00F926A7"/>
    <w:rsid w:val="00F92CB6"/>
    <w:rsid w:val="00F935AE"/>
    <w:rsid w:val="00F94366"/>
    <w:rsid w:val="00F94B65"/>
    <w:rsid w:val="00F970E8"/>
    <w:rsid w:val="00FA2044"/>
    <w:rsid w:val="00FA3343"/>
    <w:rsid w:val="00FA4712"/>
    <w:rsid w:val="00FA5ED8"/>
    <w:rsid w:val="00FA7E84"/>
    <w:rsid w:val="00FB1452"/>
    <w:rsid w:val="00FC031F"/>
    <w:rsid w:val="00FC05FC"/>
    <w:rsid w:val="00FC16B9"/>
    <w:rsid w:val="00FC3609"/>
    <w:rsid w:val="00FC36B7"/>
    <w:rsid w:val="00FD127F"/>
    <w:rsid w:val="00FD462B"/>
    <w:rsid w:val="00FE01A5"/>
    <w:rsid w:val="00FE1490"/>
    <w:rsid w:val="00FE34EF"/>
    <w:rsid w:val="00FE51FF"/>
    <w:rsid w:val="00FF18B9"/>
    <w:rsid w:val="00FF5750"/>
    <w:rsid w:val="052A535F"/>
    <w:rsid w:val="4EB228FF"/>
    <w:rsid w:val="62B5548A"/>
    <w:rsid w:val="714543B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360" w:lineRule="auto"/>
    </w:pPr>
    <w:rPr>
      <w:rFonts w:ascii="Times New Roman" w:hAnsi="Times New Roman" w:eastAsiaTheme="minorHAnsi" w:cstheme="minorBidi"/>
      <w:sz w:val="24"/>
      <w:szCs w:val="22"/>
      <w:lang w:val="pt-BR" w:eastAsia="en-US" w:bidi="ar-SA"/>
    </w:rPr>
  </w:style>
  <w:style w:type="paragraph" w:styleId="2">
    <w:name w:val="heading 1"/>
    <w:basedOn w:val="1"/>
    <w:next w:val="1"/>
    <w:link w:val="18"/>
    <w:qFormat/>
    <w:uiPriority w:val="9"/>
    <w:pPr>
      <w:keepNext/>
      <w:spacing w:line="240" w:lineRule="auto"/>
      <w:outlineLvl w:val="0"/>
    </w:pPr>
    <w:rPr>
      <w:rFonts w:eastAsia="Calibri" w:cs="Arial"/>
      <w:b/>
      <w:szCs w:val="24"/>
      <w:lang w:eastAsia="pt-BR"/>
    </w:rPr>
  </w:style>
  <w:style w:type="paragraph" w:styleId="3">
    <w:name w:val="heading 2"/>
    <w:basedOn w:val="1"/>
    <w:next w:val="1"/>
    <w:link w:val="19"/>
    <w:qFormat/>
    <w:uiPriority w:val="0"/>
    <w:pPr>
      <w:keepNext/>
      <w:spacing w:line="240" w:lineRule="auto"/>
      <w:jc w:val="center"/>
      <w:outlineLvl w:val="1"/>
    </w:pPr>
    <w:rPr>
      <w:rFonts w:ascii="Arial" w:hAnsi="Arial" w:eastAsia="Calibri" w:cs="Times New Roman"/>
      <w:sz w:val="28"/>
      <w:szCs w:val="20"/>
      <w:lang w:val="en-US" w:eastAsia="pt-BR"/>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footnote reference"/>
    <w:basedOn w:val="4"/>
    <w:semiHidden/>
    <w:unhideWhenUsed/>
    <w:qFormat/>
    <w:uiPriority w:val="99"/>
    <w:rPr>
      <w:vertAlign w:val="superscript"/>
    </w:rPr>
  </w:style>
  <w:style w:type="character" w:styleId="8">
    <w:name w:val="Hyperlink"/>
    <w:basedOn w:val="4"/>
    <w:unhideWhenUsed/>
    <w:qFormat/>
    <w:uiPriority w:val="99"/>
    <w:rPr>
      <w:color w:val="0000FF"/>
      <w:u w:val="single"/>
    </w:rPr>
  </w:style>
  <w:style w:type="paragraph" w:styleId="9">
    <w:name w:val="Body Text"/>
    <w:basedOn w:val="1"/>
    <w:link w:val="23"/>
    <w:semiHidden/>
    <w:unhideWhenUsed/>
    <w:qFormat/>
    <w:uiPriority w:val="0"/>
    <w:pPr>
      <w:suppressAutoHyphens/>
      <w:jc w:val="both"/>
    </w:pPr>
    <w:rPr>
      <w:rFonts w:ascii="Arial" w:hAnsi="Arial" w:eastAsia="Times New Roman" w:cs="Times New Roman"/>
      <w:szCs w:val="20"/>
      <w:lang w:eastAsia="ar-SA"/>
    </w:rPr>
  </w:style>
  <w:style w:type="paragraph" w:styleId="10">
    <w:name w:val="Body Text Indent 2"/>
    <w:basedOn w:val="1"/>
    <w:link w:val="26"/>
    <w:unhideWhenUsed/>
    <w:qFormat/>
    <w:uiPriority w:val="99"/>
    <w:pPr>
      <w:spacing w:after="120" w:line="480" w:lineRule="auto"/>
      <w:ind w:left="283"/>
    </w:pPr>
  </w:style>
  <w:style w:type="paragraph" w:styleId="11">
    <w:name w:val="Normal (Web)"/>
    <w:basedOn w:val="1"/>
    <w:semiHidden/>
    <w:unhideWhenUsed/>
    <w:uiPriority w:val="99"/>
    <w:pPr>
      <w:spacing w:before="100" w:beforeAutospacing="1" w:after="100" w:afterAutospacing="1" w:line="240" w:lineRule="auto"/>
    </w:pPr>
    <w:rPr>
      <w:rFonts w:eastAsia="Times New Roman" w:cs="Times New Roman"/>
      <w:szCs w:val="24"/>
      <w:lang w:eastAsia="pt-BR"/>
    </w:rPr>
  </w:style>
  <w:style w:type="paragraph" w:styleId="12">
    <w:name w:val="Body Text 2"/>
    <w:basedOn w:val="1"/>
    <w:link w:val="27"/>
    <w:unhideWhenUsed/>
    <w:qFormat/>
    <w:uiPriority w:val="99"/>
    <w:pPr>
      <w:spacing w:after="120" w:line="480" w:lineRule="auto"/>
    </w:pPr>
  </w:style>
  <w:style w:type="paragraph" w:styleId="13">
    <w:name w:val="header"/>
    <w:basedOn w:val="1"/>
    <w:link w:val="20"/>
    <w:unhideWhenUsed/>
    <w:qFormat/>
    <w:uiPriority w:val="0"/>
    <w:pPr>
      <w:tabs>
        <w:tab w:val="center" w:pos="4252"/>
        <w:tab w:val="right" w:pos="8504"/>
      </w:tabs>
      <w:spacing w:line="240" w:lineRule="auto"/>
    </w:pPr>
  </w:style>
  <w:style w:type="paragraph" w:styleId="14">
    <w:name w:val="footer"/>
    <w:basedOn w:val="1"/>
    <w:link w:val="21"/>
    <w:unhideWhenUsed/>
    <w:uiPriority w:val="0"/>
    <w:pPr>
      <w:tabs>
        <w:tab w:val="center" w:pos="4252"/>
        <w:tab w:val="right" w:pos="8504"/>
      </w:tabs>
      <w:spacing w:line="240" w:lineRule="auto"/>
    </w:pPr>
  </w:style>
  <w:style w:type="paragraph" w:styleId="15">
    <w:name w:val="Balloon Text"/>
    <w:basedOn w:val="1"/>
    <w:link w:val="28"/>
    <w:semiHidden/>
    <w:unhideWhenUsed/>
    <w:qFormat/>
    <w:uiPriority w:val="99"/>
    <w:pPr>
      <w:spacing w:line="240" w:lineRule="auto"/>
    </w:pPr>
    <w:rPr>
      <w:rFonts w:ascii="Segoe UI" w:hAnsi="Segoe UI" w:cs="Segoe UI"/>
      <w:sz w:val="18"/>
      <w:szCs w:val="18"/>
    </w:rPr>
  </w:style>
  <w:style w:type="paragraph" w:styleId="16">
    <w:name w:val="footnote text"/>
    <w:basedOn w:val="1"/>
    <w:link w:val="57"/>
    <w:semiHidden/>
    <w:unhideWhenUsed/>
    <w:uiPriority w:val="99"/>
    <w:pPr>
      <w:spacing w:line="240" w:lineRule="auto"/>
    </w:pPr>
    <w:rPr>
      <w:sz w:val="20"/>
      <w:szCs w:val="20"/>
    </w:rPr>
  </w:style>
  <w:style w:type="table" w:styleId="17">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Título 1 Char"/>
    <w:basedOn w:val="4"/>
    <w:link w:val="2"/>
    <w:qFormat/>
    <w:uiPriority w:val="9"/>
    <w:rPr>
      <w:rFonts w:ascii="Times New Roman" w:hAnsi="Times New Roman" w:eastAsia="Calibri" w:cs="Arial"/>
      <w:b/>
      <w:sz w:val="24"/>
      <w:szCs w:val="24"/>
      <w:lang w:eastAsia="pt-BR"/>
    </w:rPr>
  </w:style>
  <w:style w:type="character" w:customStyle="1" w:styleId="19">
    <w:name w:val="Título 2 Char"/>
    <w:basedOn w:val="4"/>
    <w:link w:val="3"/>
    <w:qFormat/>
    <w:uiPriority w:val="0"/>
    <w:rPr>
      <w:rFonts w:ascii="Arial" w:hAnsi="Arial" w:eastAsia="Calibri" w:cs="Times New Roman"/>
      <w:sz w:val="28"/>
      <w:szCs w:val="20"/>
      <w:lang w:val="en-US" w:eastAsia="pt-BR"/>
    </w:rPr>
  </w:style>
  <w:style w:type="character" w:customStyle="1" w:styleId="20">
    <w:name w:val="Cabeçalho Char"/>
    <w:basedOn w:val="4"/>
    <w:link w:val="13"/>
    <w:qFormat/>
    <w:uiPriority w:val="0"/>
  </w:style>
  <w:style w:type="character" w:customStyle="1" w:styleId="21">
    <w:name w:val="Rodapé Char"/>
    <w:basedOn w:val="4"/>
    <w:link w:val="14"/>
    <w:qFormat/>
    <w:uiPriority w:val="0"/>
  </w:style>
  <w:style w:type="paragraph" w:customStyle="1" w:styleId="22">
    <w:name w:val="Table Paragraph"/>
    <w:basedOn w:val="1"/>
    <w:qFormat/>
    <w:uiPriority w:val="1"/>
    <w:pPr>
      <w:widowControl w:val="0"/>
      <w:autoSpaceDE w:val="0"/>
      <w:autoSpaceDN w:val="0"/>
      <w:spacing w:line="240" w:lineRule="auto"/>
      <w:ind w:left="103"/>
    </w:pPr>
    <w:rPr>
      <w:rFonts w:eastAsia="Times New Roman" w:cs="Times New Roman"/>
      <w:lang w:val="en-US"/>
    </w:rPr>
  </w:style>
  <w:style w:type="character" w:customStyle="1" w:styleId="23">
    <w:name w:val="Corpo de texto Char"/>
    <w:basedOn w:val="4"/>
    <w:link w:val="9"/>
    <w:semiHidden/>
    <w:qFormat/>
    <w:uiPriority w:val="0"/>
    <w:rPr>
      <w:rFonts w:ascii="Arial" w:hAnsi="Arial" w:eastAsia="Times New Roman" w:cs="Times New Roman"/>
      <w:sz w:val="24"/>
      <w:szCs w:val="20"/>
      <w:lang w:eastAsia="ar-SA"/>
    </w:rPr>
  </w:style>
  <w:style w:type="paragraph" w:styleId="24">
    <w:name w:val="List Paragraph"/>
    <w:basedOn w:val="1"/>
    <w:qFormat/>
    <w:uiPriority w:val="34"/>
    <w:pPr>
      <w:spacing w:line="240" w:lineRule="auto"/>
      <w:ind w:left="720"/>
      <w:contextualSpacing/>
    </w:pPr>
    <w:rPr>
      <w:rFonts w:ascii="Arial" w:hAnsi="Arial" w:eastAsia="Times New Roman" w:cs="Tahoma"/>
      <w:sz w:val="20"/>
      <w:szCs w:val="24"/>
      <w:lang w:eastAsia="pt-BR"/>
    </w:rPr>
  </w:style>
  <w:style w:type="paragraph" w:customStyle="1" w:styleId="25">
    <w:name w:val="Default"/>
    <w:qFormat/>
    <w:uiPriority w:val="0"/>
    <w:pPr>
      <w:autoSpaceDE w:val="0"/>
      <w:autoSpaceDN w:val="0"/>
      <w:adjustRightInd w:val="0"/>
    </w:pPr>
    <w:rPr>
      <w:rFonts w:ascii="Times New Roman" w:hAnsi="Times New Roman" w:eastAsia="Calibri" w:cs="Times New Roman"/>
      <w:color w:val="000000"/>
      <w:sz w:val="24"/>
      <w:szCs w:val="24"/>
      <w:lang w:val="pt-BR" w:eastAsia="pt-BR" w:bidi="ar-SA"/>
    </w:rPr>
  </w:style>
  <w:style w:type="character" w:customStyle="1" w:styleId="26">
    <w:name w:val="Recuo de corpo de texto 2 Char"/>
    <w:basedOn w:val="4"/>
    <w:link w:val="10"/>
    <w:qFormat/>
    <w:uiPriority w:val="99"/>
  </w:style>
  <w:style w:type="character" w:customStyle="1" w:styleId="27">
    <w:name w:val="Corpo de texto 2 Char"/>
    <w:basedOn w:val="4"/>
    <w:link w:val="12"/>
    <w:qFormat/>
    <w:uiPriority w:val="99"/>
    <w:rPr>
      <w:rFonts w:ascii="Times New Roman" w:hAnsi="Times New Roman"/>
      <w:sz w:val="24"/>
    </w:rPr>
  </w:style>
  <w:style w:type="character" w:customStyle="1" w:styleId="28">
    <w:name w:val="Texto de balão Char"/>
    <w:basedOn w:val="4"/>
    <w:link w:val="15"/>
    <w:semiHidden/>
    <w:qFormat/>
    <w:uiPriority w:val="99"/>
    <w:rPr>
      <w:rFonts w:ascii="Segoe UI" w:hAnsi="Segoe UI" w:cs="Segoe UI"/>
      <w:sz w:val="18"/>
      <w:szCs w:val="18"/>
    </w:rPr>
  </w:style>
  <w:style w:type="paragraph" w:customStyle="1" w:styleId="29">
    <w:name w:val="msonormal"/>
    <w:basedOn w:val="1"/>
    <w:qFormat/>
    <w:uiPriority w:val="0"/>
    <w:pPr>
      <w:spacing w:before="100" w:beforeAutospacing="1" w:after="100" w:afterAutospacing="1" w:line="240" w:lineRule="auto"/>
    </w:pPr>
    <w:rPr>
      <w:rFonts w:eastAsia="Times New Roman" w:cs="Times New Roman"/>
      <w:szCs w:val="24"/>
      <w:lang w:eastAsia="pt-BR"/>
    </w:rPr>
  </w:style>
  <w:style w:type="paragraph" w:customStyle="1" w:styleId="30">
    <w:name w:val="font5"/>
    <w:basedOn w:val="1"/>
    <w:qFormat/>
    <w:uiPriority w:val="0"/>
    <w:pPr>
      <w:spacing w:before="100" w:beforeAutospacing="1" w:after="100" w:afterAutospacing="1" w:line="240" w:lineRule="auto"/>
    </w:pPr>
    <w:rPr>
      <w:rFonts w:ascii="Tahoma" w:hAnsi="Tahoma" w:eastAsia="Times New Roman" w:cs="Tahoma"/>
      <w:b/>
      <w:bCs/>
      <w:color w:val="000000"/>
      <w:sz w:val="18"/>
      <w:szCs w:val="18"/>
      <w:lang w:eastAsia="pt-BR"/>
    </w:rPr>
  </w:style>
  <w:style w:type="paragraph" w:customStyle="1" w:styleId="31">
    <w:name w:val="font6"/>
    <w:basedOn w:val="1"/>
    <w:qFormat/>
    <w:uiPriority w:val="0"/>
    <w:pPr>
      <w:spacing w:before="100" w:beforeAutospacing="1" w:after="100" w:afterAutospacing="1" w:line="240" w:lineRule="auto"/>
    </w:pPr>
    <w:rPr>
      <w:rFonts w:ascii="Tahoma" w:hAnsi="Tahoma" w:eastAsia="Times New Roman" w:cs="Tahoma"/>
      <w:color w:val="000000"/>
      <w:sz w:val="18"/>
      <w:szCs w:val="18"/>
      <w:lang w:eastAsia="pt-BR"/>
    </w:rPr>
  </w:style>
  <w:style w:type="paragraph" w:customStyle="1" w:styleId="32">
    <w:name w:val="xl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33">
    <w:name w:val="xl7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eastAsia="Times New Roman" w:cs="Times New Roman"/>
      <w:b/>
      <w:bCs/>
      <w:sz w:val="14"/>
      <w:szCs w:val="14"/>
      <w:lang w:eastAsia="pt-BR"/>
    </w:rPr>
  </w:style>
  <w:style w:type="paragraph" w:customStyle="1" w:styleId="34">
    <w:name w:val="xl7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35">
    <w:name w:val="xl75"/>
    <w:basedOn w:val="1"/>
    <w:uiPriority w:val="0"/>
    <w:pPr>
      <w:pBdr>
        <w:top w:val="single" w:color="000000" w:sz="4" w:space="0"/>
        <w:left w:val="single" w:color="000000" w:sz="4" w:space="0"/>
        <w:bottom w:val="single" w:color="000000" w:sz="4" w:space="0"/>
      </w:pBdr>
      <w:shd w:val="clear" w:color="DFDFDF" w:fill="CCCCFF"/>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36">
    <w:name w:val="xl76"/>
    <w:basedOn w:val="1"/>
    <w:qFormat/>
    <w:uiPriority w:val="0"/>
    <w:pPr>
      <w:pBdr>
        <w:top w:val="single" w:color="000000" w:sz="4" w:space="0"/>
        <w:left w:val="single" w:color="000000" w:sz="4" w:space="0"/>
        <w:bottom w:val="single" w:color="000000" w:sz="4" w:space="0"/>
      </w:pBdr>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37">
    <w:name w:val="xl7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textAlignment w:val="center"/>
    </w:pPr>
    <w:rPr>
      <w:rFonts w:eastAsia="Times New Roman" w:cs="Times New Roman"/>
      <w:szCs w:val="24"/>
      <w:lang w:eastAsia="pt-BR"/>
    </w:rPr>
  </w:style>
  <w:style w:type="paragraph" w:customStyle="1" w:styleId="38">
    <w:name w:val="xl78"/>
    <w:basedOn w:val="1"/>
    <w:qFormat/>
    <w:uiPriority w:val="0"/>
    <w:pPr>
      <w:pBdr>
        <w:top w:val="single" w:color="000000" w:sz="4" w:space="0"/>
        <w:left w:val="single" w:color="000000" w:sz="4" w:space="0"/>
        <w:bottom w:val="single" w:color="000000" w:sz="4" w:space="0"/>
        <w:right w:val="single" w:color="000000" w:sz="4" w:space="0"/>
      </w:pBdr>
      <w:shd w:val="clear" w:color="DFDFDF" w:fill="CCCCFF"/>
      <w:spacing w:before="100" w:beforeAutospacing="1" w:after="100" w:afterAutospacing="1" w:line="240" w:lineRule="auto"/>
      <w:jc w:val="center"/>
      <w:textAlignment w:val="center"/>
    </w:pPr>
    <w:rPr>
      <w:rFonts w:eastAsia="Times New Roman" w:cs="Times New Roman"/>
      <w:szCs w:val="24"/>
      <w:lang w:eastAsia="pt-BR"/>
    </w:rPr>
  </w:style>
  <w:style w:type="paragraph" w:customStyle="1" w:styleId="39">
    <w:name w:val="xl79"/>
    <w:basedOn w:val="1"/>
    <w:qFormat/>
    <w:uiPriority w:val="0"/>
    <w:pPr>
      <w:pBdr>
        <w:top w:val="single" w:color="000000" w:sz="4" w:space="0"/>
        <w:left w:val="single" w:color="000000" w:sz="4" w:space="0"/>
        <w:bottom w:val="single" w:color="000000" w:sz="4" w:space="0"/>
        <w:right w:val="single" w:color="000000" w:sz="4" w:space="0"/>
      </w:pBdr>
      <w:shd w:val="clear" w:color="FFFFCC" w:fill="FFFF99"/>
      <w:spacing w:before="100" w:beforeAutospacing="1" w:after="100" w:afterAutospacing="1" w:line="240" w:lineRule="auto"/>
      <w:jc w:val="center"/>
      <w:textAlignment w:val="center"/>
    </w:pPr>
    <w:rPr>
      <w:rFonts w:eastAsia="Times New Roman" w:cs="Times New Roman"/>
      <w:szCs w:val="24"/>
      <w:lang w:eastAsia="pt-BR"/>
    </w:rPr>
  </w:style>
  <w:style w:type="paragraph" w:customStyle="1" w:styleId="40">
    <w:name w:val="xl80"/>
    <w:basedOn w:val="1"/>
    <w:qFormat/>
    <w:uiPriority w:val="0"/>
    <w:pPr>
      <w:pBdr>
        <w:top w:val="single" w:color="000000" w:sz="4" w:space="0"/>
        <w:left w:val="single" w:color="000000" w:sz="4" w:space="0"/>
        <w:bottom w:val="single" w:color="000000" w:sz="4" w:space="0"/>
        <w:right w:val="single" w:color="000000" w:sz="4" w:space="0"/>
      </w:pBdr>
      <w:shd w:val="clear" w:color="FFFFCC" w:fill="FFFF99"/>
      <w:spacing w:before="100" w:beforeAutospacing="1" w:after="100" w:afterAutospacing="1" w:line="240" w:lineRule="auto"/>
      <w:textAlignment w:val="center"/>
    </w:pPr>
    <w:rPr>
      <w:rFonts w:eastAsia="Times New Roman" w:cs="Times New Roman"/>
      <w:szCs w:val="24"/>
      <w:lang w:eastAsia="pt-BR"/>
    </w:rPr>
  </w:style>
  <w:style w:type="paragraph" w:customStyle="1" w:styleId="41">
    <w:name w:val="xl81"/>
    <w:basedOn w:val="1"/>
    <w:qFormat/>
    <w:uiPriority w:val="0"/>
    <w:pPr>
      <w:pBdr>
        <w:top w:val="single" w:color="000000" w:sz="4" w:space="0"/>
        <w:left w:val="single" w:color="000000" w:sz="4" w:space="0"/>
        <w:bottom w:val="single" w:color="000000" w:sz="4" w:space="0"/>
        <w:right w:val="single" w:color="000000" w:sz="4" w:space="0"/>
      </w:pBdr>
      <w:shd w:val="clear" w:color="FFFFCC" w:fill="FFFF99"/>
      <w:spacing w:before="100" w:beforeAutospacing="1" w:after="100" w:afterAutospacing="1" w:line="240" w:lineRule="auto"/>
      <w:jc w:val="center"/>
      <w:textAlignment w:val="center"/>
    </w:pPr>
    <w:rPr>
      <w:rFonts w:eastAsia="Times New Roman" w:cs="Times New Roman"/>
      <w:szCs w:val="24"/>
      <w:lang w:eastAsia="pt-BR"/>
    </w:rPr>
  </w:style>
  <w:style w:type="paragraph" w:customStyle="1" w:styleId="42">
    <w:name w:val="xl8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textAlignment w:val="center"/>
    </w:pPr>
    <w:rPr>
      <w:rFonts w:eastAsia="Times New Roman" w:cs="Times New Roman"/>
      <w:szCs w:val="24"/>
      <w:lang w:eastAsia="pt-BR"/>
    </w:rPr>
  </w:style>
  <w:style w:type="paragraph" w:customStyle="1" w:styleId="43">
    <w:name w:val="xl83"/>
    <w:basedOn w:val="1"/>
    <w:qFormat/>
    <w:uiPriority w:val="0"/>
    <w:pPr>
      <w:pBdr>
        <w:top w:val="single" w:color="000000" w:sz="4" w:space="0"/>
        <w:left w:val="single" w:color="000000" w:sz="4" w:space="0"/>
        <w:bottom w:val="single" w:color="000000" w:sz="4" w:space="0"/>
        <w:right w:val="single" w:color="000000" w:sz="4" w:space="0"/>
      </w:pBdr>
      <w:shd w:val="clear" w:color="FFFFCC" w:fill="FFFF99"/>
      <w:spacing w:before="100" w:beforeAutospacing="1" w:after="100" w:afterAutospacing="1" w:line="240" w:lineRule="auto"/>
      <w:textAlignment w:val="center"/>
    </w:pPr>
    <w:rPr>
      <w:rFonts w:eastAsia="Times New Roman" w:cs="Times New Roman"/>
      <w:szCs w:val="24"/>
      <w:lang w:eastAsia="pt-BR"/>
    </w:rPr>
  </w:style>
  <w:style w:type="paragraph" w:customStyle="1" w:styleId="44">
    <w:name w:val="xl84"/>
    <w:basedOn w:val="1"/>
    <w:qFormat/>
    <w:uiPriority w:val="0"/>
    <w:pPr>
      <w:pBdr>
        <w:top w:val="single" w:color="000000" w:sz="4" w:space="0"/>
        <w:left w:val="single" w:color="000000" w:sz="4" w:space="0"/>
        <w:bottom w:val="single" w:color="000000" w:sz="4" w:space="0"/>
        <w:right w:val="single" w:color="000000" w:sz="4" w:space="0"/>
      </w:pBdr>
      <w:shd w:val="clear" w:color="DFDFDF" w:fill="CCCCFF"/>
      <w:spacing w:before="100" w:beforeAutospacing="1" w:after="100" w:afterAutospacing="1" w:line="240" w:lineRule="auto"/>
      <w:jc w:val="center"/>
      <w:textAlignment w:val="center"/>
    </w:pPr>
    <w:rPr>
      <w:rFonts w:eastAsia="Times New Roman" w:cs="Times New Roman"/>
      <w:szCs w:val="24"/>
      <w:lang w:eastAsia="pt-BR"/>
    </w:rPr>
  </w:style>
  <w:style w:type="paragraph" w:customStyle="1" w:styleId="45">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eastAsia="Times New Roman" w:cs="Times New Roman"/>
      <w:szCs w:val="24"/>
      <w:lang w:eastAsia="pt-BR"/>
    </w:rPr>
  </w:style>
  <w:style w:type="paragraph" w:customStyle="1" w:styleId="46">
    <w:name w:val="xl86"/>
    <w:basedOn w:val="1"/>
    <w:qFormat/>
    <w:uiPriority w:val="0"/>
    <w:pPr>
      <w:pBdr>
        <w:top w:val="single" w:color="000000" w:sz="4" w:space="0"/>
        <w:left w:val="single" w:color="000000" w:sz="4" w:space="0"/>
        <w:bottom w:val="single" w:color="000000" w:sz="4" w:space="0"/>
        <w:right w:val="single" w:color="000000" w:sz="4" w:space="0"/>
      </w:pBdr>
      <w:shd w:val="clear" w:color="969696" w:fill="808080"/>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47">
    <w:name w:val="xl87"/>
    <w:basedOn w:val="1"/>
    <w:qFormat/>
    <w:uiPriority w:val="0"/>
    <w:pPr>
      <w:pBdr>
        <w:top w:val="single" w:color="000000" w:sz="4" w:space="0"/>
        <w:bottom w:val="single" w:color="000000" w:sz="4" w:space="0"/>
      </w:pBdr>
      <w:shd w:val="clear" w:color="969696" w:fill="808080"/>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48">
    <w:name w:val="xl88"/>
    <w:basedOn w:val="1"/>
    <w:qFormat/>
    <w:uiPriority w:val="0"/>
    <w:pPr>
      <w:pBdr>
        <w:top w:val="single" w:color="000000" w:sz="4" w:space="0"/>
        <w:bottom w:val="single" w:color="000000" w:sz="4" w:space="0"/>
      </w:pBdr>
      <w:shd w:val="clear" w:color="969696" w:fill="808080"/>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49">
    <w:name w:val="xl89"/>
    <w:basedOn w:val="1"/>
    <w:qFormat/>
    <w:uiPriority w:val="0"/>
    <w:pPr>
      <w:pBdr>
        <w:top w:val="single" w:color="000000" w:sz="4" w:space="0"/>
        <w:bottom w:val="single" w:color="000000" w:sz="4" w:space="0"/>
      </w:pBdr>
      <w:shd w:val="clear" w:color="969696" w:fill="808080"/>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50">
    <w:name w:val="xl90"/>
    <w:basedOn w:val="1"/>
    <w:qFormat/>
    <w:uiPriority w:val="0"/>
    <w:pPr>
      <w:pBdr>
        <w:top w:val="single" w:color="000000" w:sz="4" w:space="0"/>
        <w:bottom w:val="single" w:color="000000" w:sz="4" w:space="0"/>
        <w:right w:val="single" w:color="000000" w:sz="4" w:space="0"/>
      </w:pBdr>
      <w:shd w:val="clear" w:color="969696" w:fill="808080"/>
      <w:spacing w:before="100" w:beforeAutospacing="1" w:after="100" w:afterAutospacing="1" w:line="240" w:lineRule="auto"/>
      <w:jc w:val="center"/>
      <w:textAlignment w:val="center"/>
    </w:pPr>
    <w:rPr>
      <w:rFonts w:eastAsia="Times New Roman" w:cs="Times New Roman"/>
      <w:b/>
      <w:bCs/>
      <w:szCs w:val="24"/>
      <w:lang w:eastAsia="pt-BR"/>
    </w:rPr>
  </w:style>
  <w:style w:type="paragraph" w:customStyle="1" w:styleId="51">
    <w:name w:val="xl91"/>
    <w:basedOn w:val="1"/>
    <w:uiPriority w:val="0"/>
    <w:pPr>
      <w:pBdr>
        <w:top w:val="single" w:color="000000" w:sz="4" w:space="0"/>
        <w:left w:val="single" w:color="000000" w:sz="4" w:space="0"/>
        <w:bottom w:val="single" w:color="000000" w:sz="4" w:space="0"/>
      </w:pBdr>
      <w:shd w:val="thinDiagStripe" w:color="C0C0C0" w:fill="auto"/>
      <w:spacing w:before="100" w:beforeAutospacing="1" w:after="100" w:afterAutospacing="1" w:line="240" w:lineRule="auto"/>
    </w:pPr>
    <w:rPr>
      <w:rFonts w:eastAsia="Times New Roman" w:cs="Times New Roman"/>
      <w:szCs w:val="24"/>
      <w:lang w:eastAsia="pt-BR"/>
    </w:rPr>
  </w:style>
  <w:style w:type="paragraph" w:customStyle="1" w:styleId="52">
    <w:name w:val="xl92"/>
    <w:basedOn w:val="1"/>
    <w:uiPriority w:val="0"/>
    <w:pPr>
      <w:pBdr>
        <w:top w:val="single" w:color="000000" w:sz="4" w:space="0"/>
        <w:bottom w:val="single" w:color="000000" w:sz="4" w:space="0"/>
        <w:right w:val="single" w:color="000000" w:sz="4" w:space="0"/>
      </w:pBdr>
      <w:shd w:val="thinDiagStripe" w:color="C0C0C0" w:fill="auto"/>
      <w:spacing w:before="100" w:beforeAutospacing="1" w:after="100" w:afterAutospacing="1" w:line="240" w:lineRule="auto"/>
    </w:pPr>
    <w:rPr>
      <w:rFonts w:eastAsia="Times New Roman" w:cs="Times New Roman"/>
      <w:szCs w:val="24"/>
      <w:lang w:eastAsia="pt-BR"/>
    </w:rPr>
  </w:style>
  <w:style w:type="paragraph" w:customStyle="1" w:styleId="53">
    <w:name w:val="xl93"/>
    <w:basedOn w:val="1"/>
    <w:uiPriority w:val="0"/>
    <w:pPr>
      <w:pBdr>
        <w:top w:val="single" w:color="000000" w:sz="4" w:space="0"/>
        <w:bottom w:val="single" w:color="000000" w:sz="4" w:space="0"/>
      </w:pBdr>
      <w:shd w:val="thinDiagStripe" w:color="C0C0C0" w:fill="auto"/>
      <w:spacing w:before="100" w:beforeAutospacing="1" w:after="100" w:afterAutospacing="1" w:line="240" w:lineRule="auto"/>
    </w:pPr>
    <w:rPr>
      <w:rFonts w:eastAsia="Times New Roman" w:cs="Times New Roman"/>
      <w:szCs w:val="24"/>
      <w:lang w:eastAsia="pt-BR"/>
    </w:rPr>
  </w:style>
  <w:style w:type="paragraph" w:customStyle="1" w:styleId="54">
    <w:name w:val="xl94"/>
    <w:basedOn w:val="1"/>
    <w:uiPriority w:val="0"/>
    <w:pPr>
      <w:pBdr>
        <w:top w:val="single" w:color="000000" w:sz="4" w:space="0"/>
        <w:left w:val="single" w:color="000000" w:sz="4" w:space="0"/>
        <w:bottom w:val="single" w:color="000000" w:sz="4" w:space="0"/>
      </w:pBdr>
      <w:shd w:val="clear" w:color="969696" w:fill="808080"/>
      <w:spacing w:before="100" w:beforeAutospacing="1" w:after="100" w:afterAutospacing="1" w:line="240" w:lineRule="auto"/>
      <w:textAlignment w:val="center"/>
    </w:pPr>
    <w:rPr>
      <w:rFonts w:eastAsia="Times New Roman" w:cs="Times New Roman"/>
      <w:b/>
      <w:bCs/>
      <w:szCs w:val="24"/>
      <w:lang w:eastAsia="pt-BR"/>
    </w:rPr>
  </w:style>
  <w:style w:type="paragraph" w:customStyle="1" w:styleId="55">
    <w:name w:val="textbody"/>
    <w:basedOn w:val="1"/>
    <w:uiPriority w:val="0"/>
    <w:pPr>
      <w:spacing w:before="100" w:beforeAutospacing="1" w:after="100" w:afterAutospacing="1" w:line="240" w:lineRule="auto"/>
    </w:pPr>
    <w:rPr>
      <w:rFonts w:eastAsia="Times New Roman" w:cs="Times New Roman"/>
      <w:szCs w:val="24"/>
      <w:lang w:eastAsia="pt-BR"/>
    </w:rPr>
  </w:style>
  <w:style w:type="character" w:customStyle="1" w:styleId="56">
    <w:name w:val="Unresolved Mention"/>
    <w:basedOn w:val="4"/>
    <w:semiHidden/>
    <w:unhideWhenUsed/>
    <w:uiPriority w:val="99"/>
    <w:rPr>
      <w:color w:val="605E5C"/>
      <w:shd w:val="clear" w:color="auto" w:fill="E1DFDD"/>
    </w:rPr>
  </w:style>
  <w:style w:type="character" w:customStyle="1" w:styleId="57">
    <w:name w:val="Texto de nota de rodapé Char"/>
    <w:basedOn w:val="4"/>
    <w:link w:val="16"/>
    <w:semiHidden/>
    <w:uiPriority w:val="99"/>
    <w:rPr>
      <w:rFonts w:ascii="Times New Roman" w:hAnsi="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4639-B56E-4CF5-B36C-021F615D623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1511</Words>
  <Characters>8164</Characters>
  <Lines>68</Lines>
  <Paragraphs>19</Paragraphs>
  <TotalTime>2</TotalTime>
  <ScaleCrop>false</ScaleCrop>
  <LinksUpToDate>false</LinksUpToDate>
  <CharactersWithSpaces>9656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2023-11-07T21:08:00Z</dcterms:created>
  <dc:creator>Helio Carrilho</dc:creator>
  <cp:lastModifiedBy>Usuario</cp:lastModifiedBy>
  <cp:lastPrinted>2024-01-23T16:42:59Z</cp:lastPrinted>
  <dcterms:modified xsi:type="dcterms:W3CDTF">2024-01-23T16:43:10Z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E06EDAF836684B299986AE0776ED9DD3_12</vt:lpwstr>
  </property>
</Properties>
</file>